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50" w:lineRule="exact"/>
        <w:jc w:val="left"/>
        <w:rPr>
          <w:rFonts w:ascii="黑体" w:hAnsi="黑体" w:eastAsia="黑体"/>
          <w:bCs/>
          <w:szCs w:val="21"/>
        </w:rPr>
      </w:pPr>
      <w:r>
        <w:rPr>
          <w:rFonts w:hint="eastAsia" w:ascii="黑体" w:hAnsi="黑体" w:eastAsia="黑体"/>
          <w:bCs/>
          <w:szCs w:val="21"/>
        </w:rPr>
        <w:t>ICS73.040</w:t>
      </w:r>
    </w:p>
    <w:p>
      <w:pPr>
        <w:spacing w:line="450" w:lineRule="exact"/>
        <w:jc w:val="left"/>
        <w:rPr>
          <w:rFonts w:ascii="黑体" w:hAnsi="黑体" w:eastAsia="黑体"/>
          <w:bCs/>
          <w:szCs w:val="21"/>
        </w:rPr>
      </w:pPr>
      <w:r>
        <w:rPr>
          <w:rFonts w:hint="eastAsia" w:ascii="黑体" w:hAnsi="黑体" w:eastAsia="黑体"/>
          <w:bCs/>
          <w:szCs w:val="21"/>
        </w:rPr>
        <w:t>D27</w:t>
      </w:r>
    </w:p>
    <w:p>
      <w:pPr>
        <w:snapToGrid w:val="0"/>
        <w:jc w:val="right"/>
        <w:rPr>
          <w:rFonts w:ascii="黑体" w:hAnsi="黑体" w:eastAsia="黑体" w:cs="黑体"/>
          <w:b/>
          <w:sz w:val="84"/>
          <w:szCs w:val="84"/>
        </w:rPr>
      </w:pPr>
      <w:r>
        <w:rPr>
          <w:rFonts w:hint="eastAsia" w:ascii="黑体" w:hAnsi="黑体" w:eastAsia="黑体" w:cs="黑体"/>
          <w:b/>
          <w:sz w:val="84"/>
          <w:szCs w:val="84"/>
        </w:rPr>
        <w:t>DB14</w:t>
      </w:r>
    </w:p>
    <w:p>
      <w:pPr>
        <w:jc w:val="distribute"/>
        <w:rPr>
          <w:rFonts w:ascii="宋体" w:hAnsi="宋体"/>
          <w:b/>
          <w:sz w:val="72"/>
          <w:szCs w:val="72"/>
        </w:rPr>
      </w:pPr>
      <w:r>
        <w:rPr>
          <w:rFonts w:hint="eastAsia" w:ascii="宋体" w:hAnsi="宋体"/>
          <w:b/>
          <w:sz w:val="48"/>
          <w:szCs w:val="48"/>
        </w:rPr>
        <w:t>山西省地方标准</w:t>
      </w:r>
    </w:p>
    <w:p>
      <w:pPr>
        <w:spacing w:before="156" w:beforeLines="50"/>
        <w:jc w:val="right"/>
        <w:rPr>
          <w:rFonts w:ascii="宋体" w:hAnsi="宋体"/>
          <w:bCs/>
          <w:szCs w:val="21"/>
        </w:rPr>
      </w:pPr>
      <w:r>
        <w:rPr>
          <w:rFonts w:hint="eastAsia" w:ascii="宋体" w:hAnsi="宋体"/>
          <w:bCs/>
          <w:szCs w:val="21"/>
        </w:rPr>
        <w:t>DB 14/T XXXX----XXXX</w:t>
      </w:r>
    </w:p>
    <w:p>
      <w:pPr>
        <w:jc w:val="right"/>
        <w:rPr>
          <w:rFonts w:ascii="宋体" w:hAnsi="宋体"/>
          <w:b/>
          <w:sz w:val="24"/>
        </w:rPr>
      </w:pPr>
    </w:p>
    <w:p>
      <w:pPr>
        <w:jc w:val="left"/>
        <w:rPr>
          <w:rFonts w:ascii="宋体" w:hAnsi="宋体"/>
          <w:b/>
          <w:sz w:val="24"/>
        </w:rPr>
      </w:pPr>
      <w:r>
        <w:rPr>
          <w:rFonts w:hint="eastAsia" w:ascii="宋体" w:hAnsi="宋体"/>
          <w:b/>
          <w:sz w:val="24"/>
        </w:rPr>
        <mc:AlternateContent>
          <mc:Choice Requires="wps">
            <w:drawing>
              <wp:anchor distT="0" distB="0" distL="114300" distR="114300" simplePos="0" relativeHeight="251661312" behindDoc="0" locked="0" layoutInCell="1" allowOverlap="1">
                <wp:simplePos x="0" y="0"/>
                <wp:positionH relativeFrom="column">
                  <wp:posOffset>-21590</wp:posOffset>
                </wp:positionH>
                <wp:positionV relativeFrom="paragraph">
                  <wp:posOffset>111760</wp:posOffset>
                </wp:positionV>
                <wp:extent cx="5838825" cy="0"/>
                <wp:effectExtent l="0" t="0" r="0" b="0"/>
                <wp:wrapNone/>
                <wp:docPr id="20" name="直接箭头连接符 20"/>
                <wp:cNvGraphicFramePr/>
                <a:graphic xmlns:a="http://schemas.openxmlformats.org/drawingml/2006/main">
                  <a:graphicData uri="http://schemas.microsoft.com/office/word/2010/wordprocessingShape">
                    <wps:wsp>
                      <wps:cNvCnPr/>
                      <wps:spPr>
                        <a:xfrm>
                          <a:off x="0" y="0"/>
                          <a:ext cx="583882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pt;margin-top:8.8pt;height:0pt;width:459.75pt;z-index:251661312;mso-width-relative:page;mso-height-relative:page;" filled="f" stroked="t" coordsize="21600,21600" o:gfxdata="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E7bo3SAAAACAEAAA8AAAAAAAAAAQAgAAAAOAAAAGRycy9kb3ducmV2LnhtbFBLAQIU&#10;ABQAAAAIAIdO4kBH16PQ4wEAAKEDAAAOAAAAAAAAAAEAIAAAADcBAABkcnMvZTJvRG9jLnhtbFBL&#10;BQYAAAAABgAGAFkBAACMBQAAAAA=&#10;">
                <v:fill on="f" focussize="0,0"/>
                <v:stroke weight="1.5pt" color="#000000" joinstyle="round"/>
                <v:imagedata o:title=""/>
                <o:lock v:ext="edit" aspectratio="f"/>
              </v:shape>
            </w:pict>
          </mc:Fallback>
        </mc:AlternateContent>
      </w:r>
    </w:p>
    <w:p>
      <w:pPr>
        <w:spacing w:line="480" w:lineRule="auto"/>
        <w:rPr>
          <w:rFonts w:ascii="宋体" w:hAnsi="宋体"/>
          <w:b/>
          <w:sz w:val="52"/>
          <w:szCs w:val="52"/>
        </w:rPr>
      </w:pPr>
    </w:p>
    <w:p>
      <w:pPr>
        <w:spacing w:line="480" w:lineRule="auto"/>
        <w:jc w:val="center"/>
        <w:rPr>
          <w:rFonts w:hint="eastAsia" w:ascii="黑体" w:hAnsi="黑体" w:eastAsia="黑体"/>
          <w:bCs/>
          <w:sz w:val="52"/>
          <w:szCs w:val="52"/>
          <w:lang w:eastAsia="zh-CN"/>
        </w:rPr>
      </w:pPr>
      <w:r>
        <w:rPr>
          <w:rFonts w:hint="eastAsia" w:ascii="黑体" w:hAnsi="黑体" w:eastAsia="黑体"/>
          <w:bCs/>
          <w:sz w:val="52"/>
          <w:szCs w:val="52"/>
          <w:lang w:val="en-US" w:eastAsia="zh-CN"/>
        </w:rPr>
        <w:t>废油脂转化</w:t>
      </w:r>
      <w:r>
        <w:rPr>
          <w:rFonts w:hint="eastAsia" w:ascii="黑体" w:hAnsi="黑体" w:eastAsia="黑体"/>
          <w:bCs/>
          <w:sz w:val="52"/>
          <w:szCs w:val="52"/>
        </w:rPr>
        <w:t>生物浮选剂</w:t>
      </w:r>
      <w:r>
        <w:rPr>
          <w:rFonts w:hint="eastAsia" w:ascii="黑体" w:hAnsi="黑体" w:eastAsia="黑体"/>
          <w:bCs/>
          <w:sz w:val="52"/>
          <w:szCs w:val="52"/>
          <w:lang w:eastAsia="zh-CN"/>
        </w:rPr>
        <w:t>技术规程</w:t>
      </w:r>
    </w:p>
    <w:p>
      <w:pPr>
        <w:spacing w:line="480" w:lineRule="auto"/>
        <w:jc w:val="center"/>
        <w:rPr>
          <w:rFonts w:hint="eastAsia" w:ascii="黑体" w:hAnsi="黑体" w:eastAsia="黑体"/>
          <w:sz w:val="28"/>
          <w:szCs w:val="28"/>
        </w:rPr>
      </w:pPr>
      <w:r>
        <w:rPr>
          <w:rFonts w:hint="eastAsia" w:ascii="黑体" w:hAnsi="黑体" w:eastAsia="黑体"/>
          <w:sz w:val="28"/>
          <w:szCs w:val="28"/>
          <w:lang w:val="en-US" w:eastAsia="zh-CN"/>
        </w:rPr>
        <w:t xml:space="preserve">Technical specification for </w:t>
      </w:r>
      <w:r>
        <w:rPr>
          <w:rFonts w:hint="eastAsia" w:ascii="黑体" w:hAnsi="黑体" w:eastAsia="黑体"/>
          <w:sz w:val="28"/>
          <w:szCs w:val="28"/>
        </w:rPr>
        <w:t>waste oil and fat tobio-floatation agent</w:t>
      </w:r>
    </w:p>
    <w:p>
      <w:pPr>
        <w:spacing w:line="480" w:lineRule="auto"/>
        <w:jc w:val="center"/>
        <w:rPr>
          <w:rFonts w:ascii="宋体" w:hAnsi="宋体"/>
          <w:sz w:val="28"/>
          <w:szCs w:val="28"/>
        </w:rPr>
      </w:pPr>
      <w:r>
        <w:rPr>
          <w:rFonts w:hint="eastAsia" w:ascii="宋体" w:hAnsi="宋体"/>
          <w:sz w:val="28"/>
          <w:szCs w:val="28"/>
        </w:rPr>
        <w:t>(</w:t>
      </w:r>
      <w:r>
        <w:rPr>
          <w:rFonts w:hint="eastAsia" w:ascii="宋体" w:hAnsi="宋体"/>
          <w:sz w:val="28"/>
          <w:szCs w:val="28"/>
          <w:lang w:eastAsia="zh-CN"/>
        </w:rPr>
        <w:t>征求意见</w:t>
      </w:r>
      <w:r>
        <w:rPr>
          <w:rFonts w:hint="eastAsia" w:ascii="宋体" w:hAnsi="宋体"/>
          <w:sz w:val="28"/>
          <w:szCs w:val="28"/>
        </w:rPr>
        <w:t>稿）</w:t>
      </w:r>
    </w:p>
    <w:p>
      <w:pPr>
        <w:spacing w:line="450" w:lineRule="exact"/>
        <w:jc w:val="left"/>
        <w:rPr>
          <w:rFonts w:ascii="宋体" w:hAnsi="宋体"/>
          <w:b/>
          <w:sz w:val="24"/>
        </w:rPr>
      </w:pPr>
    </w:p>
    <w:p>
      <w:pPr>
        <w:spacing w:line="450" w:lineRule="exact"/>
        <w:jc w:val="left"/>
        <w:rPr>
          <w:rFonts w:ascii="宋体" w:hAnsi="宋体"/>
          <w:b/>
          <w:sz w:val="24"/>
        </w:rPr>
      </w:pPr>
    </w:p>
    <w:p>
      <w:pPr>
        <w:spacing w:line="450" w:lineRule="exact"/>
        <w:jc w:val="left"/>
        <w:rPr>
          <w:rFonts w:ascii="宋体" w:hAnsi="宋体"/>
          <w:b/>
          <w:sz w:val="24"/>
        </w:rPr>
      </w:pPr>
    </w:p>
    <w:p>
      <w:pPr>
        <w:spacing w:line="450" w:lineRule="exact"/>
        <w:jc w:val="left"/>
        <w:rPr>
          <w:rFonts w:ascii="宋体" w:hAnsi="宋体"/>
          <w:b/>
          <w:sz w:val="24"/>
        </w:rPr>
      </w:pPr>
    </w:p>
    <w:p>
      <w:pPr>
        <w:spacing w:line="450" w:lineRule="exact"/>
        <w:jc w:val="left"/>
        <w:rPr>
          <w:rFonts w:ascii="宋体" w:hAnsi="宋体"/>
          <w:b/>
          <w:sz w:val="24"/>
        </w:rPr>
      </w:pPr>
    </w:p>
    <w:p>
      <w:pPr>
        <w:spacing w:line="450" w:lineRule="exact"/>
        <w:jc w:val="left"/>
        <w:rPr>
          <w:rFonts w:ascii="宋体" w:hAnsi="宋体"/>
          <w:b/>
          <w:sz w:val="28"/>
          <w:szCs w:val="28"/>
        </w:rPr>
      </w:pPr>
    </w:p>
    <w:p>
      <w:pPr>
        <w:spacing w:line="450" w:lineRule="exact"/>
        <w:jc w:val="left"/>
        <w:rPr>
          <w:rFonts w:ascii="宋体" w:hAnsi="宋体"/>
          <w:b/>
          <w:sz w:val="28"/>
          <w:szCs w:val="28"/>
        </w:rPr>
      </w:pPr>
    </w:p>
    <w:p>
      <w:pPr>
        <w:spacing w:line="450" w:lineRule="exact"/>
        <w:jc w:val="left"/>
        <w:rPr>
          <w:rFonts w:ascii="宋体" w:hAnsi="宋体"/>
          <w:b/>
          <w:sz w:val="28"/>
          <w:szCs w:val="28"/>
        </w:rPr>
      </w:pPr>
    </w:p>
    <w:p>
      <w:pPr>
        <w:spacing w:line="450" w:lineRule="exact"/>
        <w:jc w:val="left"/>
        <w:rPr>
          <w:rFonts w:ascii="黑体" w:hAnsi="黑体" w:eastAsia="黑体"/>
          <w:bCs/>
          <w:sz w:val="28"/>
          <w:szCs w:val="28"/>
        </w:rPr>
      </w:pPr>
    </w:p>
    <w:p>
      <w:pPr>
        <w:spacing w:line="450" w:lineRule="exact"/>
        <w:jc w:val="left"/>
        <w:rPr>
          <w:rFonts w:ascii="黑体" w:hAnsi="黑体" w:eastAsia="黑体"/>
          <w:bCs/>
          <w:sz w:val="28"/>
          <w:szCs w:val="28"/>
        </w:rPr>
      </w:pPr>
      <w:r>
        <w:rPr>
          <w:rFonts w:hint="eastAsia" w:ascii="黑体" w:hAnsi="黑体" w:eastAsia="黑体"/>
          <w:bCs/>
          <w:sz w:val="28"/>
          <w:szCs w:val="28"/>
        </w:rPr>
        <w:t xml:space="preserve">XXXX-XX-XX发布                        </w:t>
      </w:r>
      <w:r>
        <w:rPr>
          <w:rFonts w:hint="eastAsia" w:ascii="黑体" w:hAnsi="黑体" w:eastAsia="黑体"/>
          <w:bCs/>
          <w:sz w:val="28"/>
          <w:szCs w:val="28"/>
          <w:lang w:val="en-US" w:eastAsia="zh-CN"/>
        </w:rPr>
        <w:t xml:space="preserve"> </w:t>
      </w:r>
      <w:r>
        <w:rPr>
          <w:rFonts w:hint="eastAsia" w:ascii="黑体" w:hAnsi="黑体" w:eastAsia="黑体"/>
          <w:bCs/>
          <w:sz w:val="28"/>
          <w:szCs w:val="28"/>
        </w:rPr>
        <w:t xml:space="preserve">  XXXX-XX-XX实施</w:t>
      </w:r>
    </w:p>
    <w:p>
      <w:pPr>
        <w:spacing w:line="450" w:lineRule="exact"/>
        <w:jc w:val="left"/>
        <w:rPr>
          <w:rFonts w:hint="eastAsia" w:ascii="黑体" w:hAnsi="黑体" w:eastAsia="黑体"/>
          <w:bCs/>
          <w:sz w:val="36"/>
          <w:szCs w:val="36"/>
        </w:rPr>
      </w:pPr>
      <w:r>
        <w:rPr>
          <w:rFonts w:hint="eastAsia" w:ascii="宋体" w:hAnsi="宋体"/>
          <w:bCs/>
          <w:sz w:val="24"/>
        </w:rPr>
        <mc:AlternateContent>
          <mc:Choice Requires="wps">
            <w:drawing>
              <wp:anchor distT="0" distB="0" distL="114300" distR="114300" simplePos="0" relativeHeight="251662336" behindDoc="0" locked="0" layoutInCell="1" allowOverlap="1">
                <wp:simplePos x="0" y="0"/>
                <wp:positionH relativeFrom="column">
                  <wp:posOffset>-31115</wp:posOffset>
                </wp:positionH>
                <wp:positionV relativeFrom="paragraph">
                  <wp:posOffset>0</wp:posOffset>
                </wp:positionV>
                <wp:extent cx="5535930" cy="8255"/>
                <wp:effectExtent l="0" t="0" r="0" b="0"/>
                <wp:wrapNone/>
                <wp:docPr id="23" name="直接箭头连接符 23"/>
                <wp:cNvGraphicFramePr/>
                <a:graphic xmlns:a="http://schemas.openxmlformats.org/drawingml/2006/main">
                  <a:graphicData uri="http://schemas.microsoft.com/office/word/2010/wordprocessingShape">
                    <wps:wsp>
                      <wps:cNvCnPr/>
                      <wps:spPr>
                        <a:xfrm flipV="true">
                          <a:off x="0" y="0"/>
                          <a:ext cx="5535930" cy="825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45pt;margin-top:0pt;height:0.65pt;width:435.9pt;z-index:251662336;mso-width-relative:page;mso-height-relative:page;" filled="f" stroked="t" coordsize="21600,21600" o:gfxdata="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m0YUKNQAAAAFAQAADwAAAAAAAAABACAAAAA4AAAAZHJzL2Rv&#10;d25yZXYueG1sUEsBAhQAFAAAAAgAh07iQET18ijvAQAAsQMAAA4AAAAAAAAAAQAgAAAAOQEAAGRy&#10;cy9lMm9Eb2MueG1sUEsFBgAAAAAGAAYAWQEAAJoFAAAAAA==&#10;">
                <v:fill on="f" focussize="0,0"/>
                <v:stroke weight="1.5pt" color="#000000" joinstyle="round"/>
                <v:imagedata o:title=""/>
                <o:lock v:ext="edit" aspectratio="f"/>
              </v:shape>
            </w:pict>
          </mc:Fallback>
        </mc:AlternateContent>
      </w:r>
    </w:p>
    <w:p>
      <w:pPr>
        <w:snapToGrid w:val="0"/>
        <w:jc w:val="center"/>
        <w:rPr>
          <w:rFonts w:ascii="黑体" w:hAnsi="黑体" w:eastAsia="黑体"/>
          <w:bCs/>
          <w:sz w:val="28"/>
          <w:szCs w:val="28"/>
        </w:rPr>
        <w:sectPr>
          <w:footerReference r:id="rId3" w:type="default"/>
          <w:pgSz w:w="11906" w:h="16838"/>
          <w:pgMar w:top="794" w:right="1417" w:bottom="794" w:left="1417" w:header="851" w:footer="992" w:gutter="0"/>
          <w:pgNumType w:fmt="decimal" w:start="1"/>
          <w:cols w:space="720" w:num="1"/>
          <w:docGrid w:type="lines" w:linePitch="312" w:charSpace="0"/>
        </w:sectPr>
      </w:pPr>
      <w:r>
        <w:rPr>
          <w:rFonts w:hint="eastAsia" w:ascii="黑体" w:hAnsi="黑体" w:eastAsia="黑体"/>
          <w:bCs/>
          <w:sz w:val="36"/>
          <w:szCs w:val="36"/>
        </w:rPr>
        <w:t>山西省市场监督管理局</w:t>
      </w:r>
      <w:r>
        <w:rPr>
          <w:rFonts w:hint="eastAsia" w:ascii="宋体" w:hAnsi="宋体"/>
          <w:bCs/>
          <w:sz w:val="36"/>
          <w:szCs w:val="36"/>
        </w:rPr>
        <w:t xml:space="preserve"> </w:t>
      </w:r>
      <w:r>
        <w:rPr>
          <w:rFonts w:hint="eastAsia" w:ascii="宋体" w:hAnsi="宋体"/>
          <w:bCs/>
          <w:sz w:val="44"/>
          <w:szCs w:val="44"/>
        </w:rPr>
        <w:t xml:space="preserve">   </w:t>
      </w:r>
      <w:r>
        <w:rPr>
          <w:rFonts w:hint="eastAsia" w:ascii="宋体" w:hAnsi="宋体"/>
          <w:bCs/>
          <w:sz w:val="28"/>
          <w:szCs w:val="28"/>
        </w:rPr>
        <w:t xml:space="preserve"> </w:t>
      </w:r>
      <w:r>
        <w:rPr>
          <w:rFonts w:hint="eastAsia" w:ascii="黑体" w:hAnsi="黑体" w:eastAsia="黑体"/>
          <w:bCs/>
          <w:sz w:val="28"/>
          <w:szCs w:val="28"/>
        </w:rPr>
        <w:t>发 布</w:t>
      </w:r>
    </w:p>
    <w:p>
      <w:pPr>
        <w:spacing w:line="450" w:lineRule="exact"/>
        <w:jc w:val="both"/>
        <w:rPr>
          <w:rFonts w:hint="eastAsia" w:ascii="黑体" w:hAnsi="黑体" w:eastAsia="黑体"/>
          <w:bCs/>
          <w:sz w:val="11"/>
          <w:szCs w:val="11"/>
        </w:rPr>
      </w:pPr>
    </w:p>
    <w:p>
      <w:pPr>
        <w:spacing w:line="450" w:lineRule="exact"/>
        <w:jc w:val="center"/>
        <w:rPr>
          <w:rFonts w:hint="eastAsia" w:ascii="黑体" w:hAnsi="黑体" w:eastAsia="黑体"/>
          <w:bCs/>
          <w:sz w:val="32"/>
          <w:szCs w:val="32"/>
        </w:rPr>
      </w:pPr>
    </w:p>
    <w:p>
      <w:pPr>
        <w:spacing w:line="450" w:lineRule="exact"/>
        <w:jc w:val="center"/>
        <w:rPr>
          <w:rFonts w:ascii="黑体" w:hAnsi="黑体" w:eastAsia="黑体"/>
          <w:bCs/>
          <w:sz w:val="32"/>
          <w:szCs w:val="32"/>
        </w:rPr>
      </w:pPr>
      <w:r>
        <w:rPr>
          <w:rFonts w:hint="eastAsia" w:ascii="黑体" w:hAnsi="黑体" w:eastAsia="黑体"/>
          <w:bCs/>
          <w:sz w:val="32"/>
          <w:szCs w:val="32"/>
        </w:rPr>
        <w:t>目次</w:t>
      </w:r>
    </w:p>
    <w:p>
      <w:pPr>
        <w:keepNext w:val="0"/>
        <w:keepLines w:val="0"/>
        <w:pageBreakBefore w:val="0"/>
        <w:widowControl w:val="0"/>
        <w:kinsoku/>
        <w:wordWrap/>
        <w:overflowPunct/>
        <w:topLinePunct w:val="0"/>
        <w:autoSpaceDE/>
        <w:autoSpaceDN/>
        <w:bidi w:val="0"/>
        <w:adjustRightInd/>
        <w:snapToGrid/>
        <w:spacing w:line="450" w:lineRule="exact"/>
        <w:textAlignment w:val="auto"/>
        <w:outlineLvl w:val="9"/>
        <w:rPr>
          <w:rFonts w:hint="eastAsia" w:asciiTheme="minorEastAsia" w:hAnsiTheme="minorEastAsia" w:eastAsiaTheme="minorEastAsia" w:cstheme="minorEastAsia"/>
          <w:szCs w:val="21"/>
        </w:rPr>
      </w:pPr>
    </w:p>
    <w:p>
      <w:pPr>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rPr>
          <w:rFonts w:ascii="宋体" w:hAnsi="宋体"/>
          <w:sz w:val="24"/>
        </w:rPr>
      </w:pPr>
    </w:p>
    <w:sdt>
      <w:sdtPr>
        <w:rPr>
          <w:rFonts w:ascii="宋体" w:hAnsi="宋体" w:eastAsia="宋体" w:cstheme="minorBidi"/>
          <w:kern w:val="2"/>
          <w:sz w:val="21"/>
          <w:szCs w:val="24"/>
          <w:lang w:val="en-US" w:eastAsia="zh-CN" w:bidi="ar-SA"/>
        </w:rPr>
        <w:id w:val="147482716"/>
        <w15:color w:val="DBDBDB"/>
        <w:docPartObj>
          <w:docPartGallery w:val="Table of Contents"/>
          <w:docPartUnique/>
        </w:docPartObj>
      </w:sdtPr>
      <w:sdtEndPr>
        <w:rPr>
          <w:rFonts w:ascii="宋体" w:hAnsi="宋体"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9"/>
            <w:keepNext w:val="0"/>
            <w:keepLines w:val="0"/>
            <w:pageBreakBefore w:val="0"/>
            <w:widowControl w:val="0"/>
            <w:tabs>
              <w:tab w:val="right" w:leader="middleDot" w:pos="9184"/>
            </w:tabs>
            <w:kinsoku/>
            <w:wordWrap/>
            <w:overflowPunct/>
            <w:topLinePunct w:val="0"/>
            <w:autoSpaceDE/>
            <w:autoSpaceDN/>
            <w:bidi w:val="0"/>
            <w:adjustRightInd/>
            <w:snapToGrid/>
            <w:spacing w:line="360" w:lineRule="auto"/>
            <w:textAlignment w:val="auto"/>
            <w:rPr>
              <w:rFonts w:hint="eastAsia" w:ascii="宋体" w:hAnsi="宋体" w:eastAsia="宋体" w:cs="宋体"/>
              <w:sz w:val="21"/>
              <w:lang w:eastAsia="zh-CN"/>
            </w:rPr>
          </w:pPr>
          <w:r>
            <w:rPr>
              <w:rFonts w:ascii="宋体" w:hAnsi="宋体"/>
              <w:sz w:val="24"/>
            </w:rPr>
            <w:fldChar w:fldCharType="begin"/>
          </w:r>
          <w:r>
            <w:rPr>
              <w:rFonts w:ascii="宋体" w:hAnsi="宋体"/>
              <w:sz w:val="24"/>
            </w:rPr>
            <w:instrText xml:space="preserve">TOC \o "1-1" \h \u </w:instrText>
          </w:r>
          <w:r>
            <w:rPr>
              <w:rFonts w:ascii="宋体" w:hAnsi="宋体"/>
              <w:sz w:val="24"/>
            </w:rPr>
            <w:fldChar w:fldCharType="separate"/>
          </w:r>
          <w:r>
            <w:rPr>
              <w:rFonts w:ascii="宋体" w:hAnsi="宋体" w:eastAsia="宋体"/>
              <w:sz w:val="21"/>
            </w:rPr>
            <w:fldChar w:fldCharType="begin"/>
          </w:r>
          <w:r>
            <w:rPr>
              <w:rFonts w:ascii="宋体" w:hAnsi="宋体" w:eastAsia="宋体"/>
              <w:sz w:val="21"/>
            </w:rPr>
            <w:instrText xml:space="preserve"> HYPERLINK \l _Toc9545 </w:instrText>
          </w:r>
          <w:r>
            <w:rPr>
              <w:rFonts w:ascii="宋体" w:hAnsi="宋体" w:eastAsia="宋体"/>
              <w:sz w:val="21"/>
            </w:rPr>
            <w:fldChar w:fldCharType="separate"/>
          </w:r>
          <w:r>
            <w:rPr>
              <w:rFonts w:hint="eastAsia" w:eastAsia="宋体" w:asciiTheme="minorEastAsia" w:hAnsiTheme="minorEastAsia" w:cstheme="minorEastAsia"/>
              <w:sz w:val="21"/>
              <w:szCs w:val="21"/>
              <w:lang w:eastAsia="zh-CN"/>
            </w:rPr>
            <w:t>前言</w:t>
          </w:r>
          <w:r>
            <w:rPr>
              <w:rFonts w:eastAsia="宋体"/>
              <w:sz w:val="21"/>
            </w:rPr>
            <w:tab/>
          </w:r>
          <w:r>
            <w:rPr>
              <w:rFonts w:ascii="宋体" w:hAnsi="宋体" w:eastAsia="宋体"/>
              <w:sz w:val="21"/>
            </w:rPr>
            <w:fldChar w:fldCharType="end"/>
          </w:r>
          <w:r>
            <w:rPr>
              <w:rFonts w:hint="eastAsia" w:ascii="宋体" w:hAnsi="宋体" w:eastAsia="宋体" w:cs="宋体"/>
              <w:sz w:val="21"/>
              <w:lang w:eastAsia="zh-CN"/>
            </w:rPr>
            <w:t>Ⅱ</w:t>
          </w:r>
        </w:p>
        <w:p>
          <w:pPr>
            <w:pStyle w:val="9"/>
            <w:keepNext w:val="0"/>
            <w:keepLines w:val="0"/>
            <w:pageBreakBefore w:val="0"/>
            <w:widowControl w:val="0"/>
            <w:tabs>
              <w:tab w:val="right" w:leader="middleDot" w:pos="9184"/>
            </w:tabs>
            <w:kinsoku/>
            <w:wordWrap/>
            <w:overflowPunct/>
            <w:topLinePunct w:val="0"/>
            <w:autoSpaceDE/>
            <w:autoSpaceDN/>
            <w:bidi w:val="0"/>
            <w:adjustRightInd/>
            <w:snapToGrid/>
            <w:spacing w:line="360" w:lineRule="auto"/>
            <w:textAlignment w:val="auto"/>
            <w:rPr>
              <w:rFonts w:hint="eastAsia" w:eastAsia="宋体"/>
              <w:sz w:val="21"/>
              <w:lang w:val="en-US" w:eastAsia="zh-CN"/>
            </w:rPr>
          </w:pPr>
          <w:r>
            <w:rPr>
              <w:rFonts w:ascii="宋体" w:hAnsi="宋体" w:eastAsia="宋体"/>
              <w:sz w:val="21"/>
            </w:rPr>
            <w:fldChar w:fldCharType="begin"/>
          </w:r>
          <w:r>
            <w:rPr>
              <w:rFonts w:ascii="宋体" w:hAnsi="宋体" w:eastAsia="宋体"/>
              <w:sz w:val="21"/>
            </w:rPr>
            <w:instrText xml:space="preserve"> HYPERLINK \l _Toc2409 </w:instrText>
          </w:r>
          <w:r>
            <w:rPr>
              <w:rFonts w:ascii="宋体" w:hAnsi="宋体" w:eastAsia="宋体"/>
              <w:sz w:val="21"/>
            </w:rPr>
            <w:fldChar w:fldCharType="separate"/>
          </w:r>
          <w:r>
            <w:rPr>
              <w:rFonts w:hint="eastAsia" w:eastAsia="宋体" w:asciiTheme="minorEastAsia" w:hAnsiTheme="minorEastAsia" w:cstheme="minorEastAsia"/>
              <w:sz w:val="21"/>
              <w:szCs w:val="21"/>
            </w:rPr>
            <w:t>1范围</w:t>
          </w:r>
          <w:r>
            <w:rPr>
              <w:rFonts w:eastAsia="宋体"/>
              <w:sz w:val="21"/>
            </w:rPr>
            <w:tab/>
          </w:r>
          <w:r>
            <w:rPr>
              <w:rFonts w:hint="eastAsia"/>
              <w:sz w:val="21"/>
              <w:lang w:val="en-US" w:eastAsia="zh-CN"/>
            </w:rPr>
            <w:t>1</w:t>
          </w:r>
        </w:p>
        <w:p>
          <w:pPr>
            <w:pStyle w:val="9"/>
            <w:keepNext w:val="0"/>
            <w:keepLines w:val="0"/>
            <w:pageBreakBefore w:val="0"/>
            <w:widowControl w:val="0"/>
            <w:tabs>
              <w:tab w:val="right" w:leader="middleDot" w:pos="9184"/>
            </w:tabs>
            <w:kinsoku/>
            <w:wordWrap/>
            <w:overflowPunct/>
            <w:topLinePunct w:val="0"/>
            <w:autoSpaceDE/>
            <w:autoSpaceDN/>
            <w:bidi w:val="0"/>
            <w:adjustRightInd/>
            <w:snapToGrid/>
            <w:spacing w:line="360" w:lineRule="auto"/>
            <w:textAlignment w:val="auto"/>
            <w:rPr>
              <w:rFonts w:eastAsia="宋体"/>
              <w:sz w:val="21"/>
            </w:rPr>
          </w:pPr>
          <w:r>
            <w:rPr>
              <w:rFonts w:ascii="宋体" w:hAnsi="宋体" w:eastAsia="宋体"/>
              <w:sz w:val="21"/>
            </w:rPr>
            <w:fldChar w:fldCharType="end"/>
          </w:r>
          <w:r>
            <w:rPr>
              <w:rFonts w:ascii="宋体" w:hAnsi="宋体" w:eastAsia="宋体"/>
              <w:sz w:val="21"/>
            </w:rPr>
            <w:fldChar w:fldCharType="begin"/>
          </w:r>
          <w:r>
            <w:rPr>
              <w:rFonts w:ascii="宋体" w:hAnsi="宋体" w:eastAsia="宋体"/>
              <w:sz w:val="21"/>
            </w:rPr>
            <w:instrText xml:space="preserve"> HYPERLINK \l _Toc31940 </w:instrText>
          </w:r>
          <w:r>
            <w:rPr>
              <w:rFonts w:ascii="宋体" w:hAnsi="宋体" w:eastAsia="宋体"/>
              <w:sz w:val="21"/>
            </w:rPr>
            <w:fldChar w:fldCharType="separate"/>
          </w:r>
          <w:r>
            <w:rPr>
              <w:rFonts w:hint="eastAsia" w:eastAsia="宋体" w:asciiTheme="minorEastAsia" w:hAnsiTheme="minorEastAsia" w:cstheme="minorEastAsia"/>
              <w:sz w:val="21"/>
              <w:szCs w:val="21"/>
            </w:rPr>
            <w:t>2规范性引用文件</w:t>
          </w:r>
          <w:r>
            <w:rPr>
              <w:rFonts w:eastAsia="宋体"/>
              <w:sz w:val="21"/>
            </w:rPr>
            <w:tab/>
          </w:r>
          <w:r>
            <w:rPr>
              <w:rFonts w:hint="eastAsia"/>
              <w:sz w:val="21"/>
              <w:lang w:val="en-US" w:eastAsia="zh-CN"/>
            </w:rPr>
            <w:t>1</w:t>
          </w:r>
          <w:r>
            <w:rPr>
              <w:rFonts w:ascii="宋体" w:hAnsi="宋体" w:eastAsia="宋体"/>
              <w:sz w:val="21"/>
            </w:rPr>
            <w:fldChar w:fldCharType="end"/>
          </w:r>
        </w:p>
        <w:p>
          <w:pPr>
            <w:pStyle w:val="9"/>
            <w:keepNext w:val="0"/>
            <w:keepLines w:val="0"/>
            <w:pageBreakBefore w:val="0"/>
            <w:widowControl w:val="0"/>
            <w:tabs>
              <w:tab w:val="right" w:leader="middleDot" w:pos="9184"/>
            </w:tabs>
            <w:kinsoku/>
            <w:wordWrap/>
            <w:overflowPunct/>
            <w:topLinePunct w:val="0"/>
            <w:autoSpaceDE/>
            <w:autoSpaceDN/>
            <w:bidi w:val="0"/>
            <w:adjustRightInd/>
            <w:snapToGrid/>
            <w:spacing w:line="360" w:lineRule="auto"/>
            <w:textAlignment w:val="auto"/>
            <w:rPr>
              <w:rFonts w:eastAsia="宋体"/>
              <w:sz w:val="21"/>
            </w:rPr>
          </w:pPr>
          <w:r>
            <w:rPr>
              <w:rFonts w:ascii="宋体" w:hAnsi="宋体" w:eastAsia="宋体"/>
              <w:sz w:val="21"/>
            </w:rPr>
            <w:fldChar w:fldCharType="begin"/>
          </w:r>
          <w:r>
            <w:rPr>
              <w:rFonts w:ascii="宋体" w:hAnsi="宋体" w:eastAsia="宋体"/>
              <w:sz w:val="21"/>
            </w:rPr>
            <w:instrText xml:space="preserve"> HYPERLINK \l _Toc5808 </w:instrText>
          </w:r>
          <w:r>
            <w:rPr>
              <w:rFonts w:ascii="宋体" w:hAnsi="宋体" w:eastAsia="宋体"/>
              <w:sz w:val="21"/>
            </w:rPr>
            <w:fldChar w:fldCharType="separate"/>
          </w:r>
          <w:r>
            <w:rPr>
              <w:rFonts w:hint="eastAsia" w:eastAsia="宋体" w:asciiTheme="minorEastAsia" w:hAnsiTheme="minorEastAsia" w:cstheme="minorEastAsia"/>
              <w:sz w:val="21"/>
              <w:szCs w:val="21"/>
            </w:rPr>
            <w:t>3</w:t>
          </w:r>
          <w:r>
            <w:rPr>
              <w:rFonts w:hint="eastAsia" w:eastAsia="宋体" w:asciiTheme="minorEastAsia" w:hAnsiTheme="minorEastAsia" w:cstheme="minorEastAsia"/>
              <w:sz w:val="21"/>
              <w:szCs w:val="21"/>
              <w:lang w:val="en-US" w:eastAsia="zh-CN"/>
            </w:rPr>
            <w:t>术语和定义</w:t>
          </w:r>
          <w:r>
            <w:rPr>
              <w:rFonts w:eastAsia="宋体"/>
              <w:sz w:val="21"/>
            </w:rPr>
            <w:tab/>
          </w:r>
          <w:r>
            <w:rPr>
              <w:rFonts w:hint="eastAsia"/>
              <w:sz w:val="21"/>
              <w:lang w:val="en-US" w:eastAsia="zh-CN"/>
            </w:rPr>
            <w:t>2</w:t>
          </w:r>
          <w:r>
            <w:rPr>
              <w:rFonts w:ascii="宋体" w:hAnsi="宋体" w:eastAsia="宋体"/>
              <w:sz w:val="21"/>
            </w:rPr>
            <w:fldChar w:fldCharType="end"/>
          </w:r>
        </w:p>
        <w:p>
          <w:pPr>
            <w:pStyle w:val="9"/>
            <w:keepNext w:val="0"/>
            <w:keepLines w:val="0"/>
            <w:pageBreakBefore w:val="0"/>
            <w:widowControl w:val="0"/>
            <w:tabs>
              <w:tab w:val="right" w:leader="middleDot" w:pos="9184"/>
            </w:tabs>
            <w:kinsoku/>
            <w:wordWrap/>
            <w:overflowPunct/>
            <w:topLinePunct w:val="0"/>
            <w:autoSpaceDE/>
            <w:autoSpaceDN/>
            <w:bidi w:val="0"/>
            <w:adjustRightInd/>
            <w:snapToGrid/>
            <w:spacing w:line="360" w:lineRule="auto"/>
            <w:textAlignment w:val="auto"/>
            <w:rPr>
              <w:rFonts w:eastAsia="宋体"/>
              <w:sz w:val="21"/>
            </w:rPr>
          </w:pPr>
          <w:r>
            <w:rPr>
              <w:rFonts w:ascii="宋体" w:hAnsi="宋体" w:eastAsia="宋体"/>
              <w:sz w:val="21"/>
            </w:rPr>
            <w:fldChar w:fldCharType="begin"/>
          </w:r>
          <w:r>
            <w:rPr>
              <w:rFonts w:ascii="宋体" w:hAnsi="宋体" w:eastAsia="宋体"/>
              <w:sz w:val="21"/>
            </w:rPr>
            <w:instrText xml:space="preserve"> HYPERLINK \l _Toc13153 </w:instrText>
          </w:r>
          <w:r>
            <w:rPr>
              <w:rFonts w:ascii="宋体" w:hAnsi="宋体" w:eastAsia="宋体"/>
              <w:sz w:val="21"/>
            </w:rPr>
            <w:fldChar w:fldCharType="separate"/>
          </w:r>
          <w:r>
            <w:rPr>
              <w:rFonts w:hint="eastAsia" w:eastAsia="宋体" w:asciiTheme="minorEastAsia" w:hAnsiTheme="minorEastAsia" w:cstheme="minorEastAsia"/>
              <w:sz w:val="21"/>
              <w:szCs w:val="21"/>
              <w:lang w:val="en-US" w:eastAsia="zh-CN"/>
            </w:rPr>
            <w:t>4原材料要求</w:t>
          </w:r>
          <w:r>
            <w:rPr>
              <w:rFonts w:eastAsia="宋体"/>
              <w:sz w:val="21"/>
            </w:rPr>
            <w:tab/>
          </w:r>
          <w:r>
            <w:rPr>
              <w:rFonts w:hint="eastAsia"/>
              <w:sz w:val="21"/>
              <w:lang w:val="en-US" w:eastAsia="zh-CN"/>
            </w:rPr>
            <w:t>2</w:t>
          </w:r>
          <w:r>
            <w:rPr>
              <w:rFonts w:ascii="宋体" w:hAnsi="宋体" w:eastAsia="宋体"/>
              <w:sz w:val="21"/>
            </w:rPr>
            <w:fldChar w:fldCharType="end"/>
          </w:r>
        </w:p>
        <w:p>
          <w:pPr>
            <w:pStyle w:val="9"/>
            <w:keepNext w:val="0"/>
            <w:keepLines w:val="0"/>
            <w:pageBreakBefore w:val="0"/>
            <w:widowControl w:val="0"/>
            <w:tabs>
              <w:tab w:val="right" w:leader="middleDot" w:pos="9184"/>
            </w:tabs>
            <w:kinsoku/>
            <w:wordWrap/>
            <w:overflowPunct/>
            <w:topLinePunct w:val="0"/>
            <w:autoSpaceDE/>
            <w:autoSpaceDN/>
            <w:bidi w:val="0"/>
            <w:adjustRightInd/>
            <w:snapToGrid/>
            <w:spacing w:line="360" w:lineRule="auto"/>
            <w:textAlignment w:val="auto"/>
            <w:rPr>
              <w:rFonts w:eastAsia="宋体"/>
              <w:sz w:val="21"/>
            </w:rPr>
          </w:pPr>
          <w:r>
            <w:rPr>
              <w:rFonts w:ascii="宋体" w:hAnsi="宋体" w:eastAsia="宋体"/>
              <w:sz w:val="21"/>
            </w:rPr>
            <w:fldChar w:fldCharType="begin"/>
          </w:r>
          <w:r>
            <w:rPr>
              <w:rFonts w:ascii="宋体" w:hAnsi="宋体" w:eastAsia="宋体"/>
              <w:sz w:val="21"/>
            </w:rPr>
            <w:instrText xml:space="preserve"> HYPERLINK \l _Toc2722 </w:instrText>
          </w:r>
          <w:r>
            <w:rPr>
              <w:rFonts w:ascii="宋体" w:hAnsi="宋体" w:eastAsia="宋体"/>
              <w:sz w:val="21"/>
            </w:rPr>
            <w:fldChar w:fldCharType="separate"/>
          </w:r>
          <w:r>
            <w:rPr>
              <w:rFonts w:hint="eastAsia" w:eastAsia="宋体" w:asciiTheme="minorEastAsia" w:hAnsiTheme="minorEastAsia" w:cstheme="minorEastAsia"/>
              <w:sz w:val="21"/>
              <w:szCs w:val="21"/>
              <w:lang w:val="en-US" w:eastAsia="zh-CN"/>
            </w:rPr>
            <w:t>5半成品技术要求</w:t>
          </w:r>
          <w:r>
            <w:rPr>
              <w:rFonts w:eastAsia="宋体"/>
              <w:sz w:val="21"/>
            </w:rPr>
            <w:tab/>
          </w:r>
          <w:r>
            <w:rPr>
              <w:rFonts w:hint="eastAsia"/>
              <w:sz w:val="21"/>
              <w:lang w:val="en-US" w:eastAsia="zh-CN"/>
            </w:rPr>
            <w:t>2</w:t>
          </w:r>
          <w:r>
            <w:rPr>
              <w:rFonts w:ascii="宋体" w:hAnsi="宋体" w:eastAsia="宋体"/>
              <w:sz w:val="21"/>
            </w:rPr>
            <w:fldChar w:fldCharType="end"/>
          </w:r>
        </w:p>
        <w:p>
          <w:pPr>
            <w:pStyle w:val="9"/>
            <w:keepNext w:val="0"/>
            <w:keepLines w:val="0"/>
            <w:pageBreakBefore w:val="0"/>
            <w:widowControl w:val="0"/>
            <w:tabs>
              <w:tab w:val="right" w:leader="middleDot" w:pos="9184"/>
            </w:tabs>
            <w:kinsoku/>
            <w:wordWrap/>
            <w:overflowPunct/>
            <w:topLinePunct w:val="0"/>
            <w:autoSpaceDE/>
            <w:autoSpaceDN/>
            <w:bidi w:val="0"/>
            <w:adjustRightInd/>
            <w:snapToGrid/>
            <w:spacing w:line="360" w:lineRule="auto"/>
            <w:textAlignment w:val="auto"/>
            <w:rPr>
              <w:rFonts w:eastAsia="宋体"/>
              <w:sz w:val="21"/>
            </w:rPr>
          </w:pPr>
          <w:r>
            <w:rPr>
              <w:rFonts w:ascii="宋体" w:hAnsi="宋体" w:eastAsia="宋体"/>
              <w:sz w:val="21"/>
            </w:rPr>
            <w:fldChar w:fldCharType="begin"/>
          </w:r>
          <w:r>
            <w:rPr>
              <w:rFonts w:ascii="宋体" w:hAnsi="宋体" w:eastAsia="宋体"/>
              <w:sz w:val="21"/>
            </w:rPr>
            <w:instrText xml:space="preserve"> HYPERLINK \l _Toc30414 </w:instrText>
          </w:r>
          <w:r>
            <w:rPr>
              <w:rFonts w:ascii="宋体" w:hAnsi="宋体" w:eastAsia="宋体"/>
              <w:sz w:val="21"/>
            </w:rPr>
            <w:fldChar w:fldCharType="separate"/>
          </w:r>
          <w:r>
            <w:rPr>
              <w:rFonts w:hint="eastAsia" w:eastAsia="宋体" w:asciiTheme="minorEastAsia" w:hAnsiTheme="minorEastAsia" w:cstheme="minorEastAsia"/>
              <w:sz w:val="21"/>
              <w:szCs w:val="21"/>
              <w:lang w:val="en-US" w:eastAsia="zh-CN"/>
            </w:rPr>
            <w:t>6成品技术要求</w:t>
          </w:r>
          <w:r>
            <w:rPr>
              <w:rFonts w:eastAsia="宋体"/>
              <w:sz w:val="21"/>
            </w:rPr>
            <w:tab/>
          </w:r>
          <w:r>
            <w:rPr>
              <w:rFonts w:hint="eastAsia"/>
              <w:sz w:val="21"/>
              <w:lang w:val="en-US" w:eastAsia="zh-CN"/>
            </w:rPr>
            <w:t>3</w:t>
          </w:r>
          <w:r>
            <w:rPr>
              <w:rFonts w:ascii="宋体" w:hAnsi="宋体" w:eastAsia="宋体"/>
              <w:sz w:val="21"/>
            </w:rPr>
            <w:fldChar w:fldCharType="end"/>
          </w:r>
        </w:p>
        <w:p>
          <w:pPr>
            <w:pStyle w:val="9"/>
            <w:keepNext w:val="0"/>
            <w:keepLines w:val="0"/>
            <w:pageBreakBefore w:val="0"/>
            <w:widowControl w:val="0"/>
            <w:tabs>
              <w:tab w:val="right" w:leader="middleDot" w:pos="9184"/>
            </w:tabs>
            <w:kinsoku/>
            <w:wordWrap/>
            <w:overflowPunct/>
            <w:topLinePunct w:val="0"/>
            <w:autoSpaceDE/>
            <w:autoSpaceDN/>
            <w:bidi w:val="0"/>
            <w:adjustRightInd/>
            <w:snapToGrid/>
            <w:spacing w:line="360" w:lineRule="auto"/>
            <w:textAlignment w:val="auto"/>
            <w:rPr>
              <w:rFonts w:eastAsia="宋体"/>
              <w:sz w:val="21"/>
            </w:rPr>
          </w:pPr>
          <w:r>
            <w:rPr>
              <w:rFonts w:ascii="宋体" w:hAnsi="宋体" w:eastAsia="宋体"/>
              <w:sz w:val="21"/>
            </w:rPr>
            <w:fldChar w:fldCharType="begin"/>
          </w:r>
          <w:r>
            <w:rPr>
              <w:rFonts w:ascii="宋体" w:hAnsi="宋体" w:eastAsia="宋体"/>
              <w:sz w:val="21"/>
            </w:rPr>
            <w:instrText xml:space="preserve"> HYPERLINK \l _Toc11952 </w:instrText>
          </w:r>
          <w:r>
            <w:rPr>
              <w:rFonts w:ascii="宋体" w:hAnsi="宋体" w:eastAsia="宋体"/>
              <w:sz w:val="21"/>
            </w:rPr>
            <w:fldChar w:fldCharType="separate"/>
          </w:r>
          <w:r>
            <w:rPr>
              <w:rFonts w:hint="eastAsia" w:eastAsia="宋体" w:asciiTheme="minorEastAsia" w:hAnsiTheme="minorEastAsia" w:cstheme="minorEastAsia"/>
              <w:sz w:val="21"/>
              <w:szCs w:val="21"/>
              <w:lang w:val="en-US" w:eastAsia="zh-CN"/>
            </w:rPr>
            <w:t>7生产工艺安全要求</w:t>
          </w:r>
          <w:r>
            <w:rPr>
              <w:rFonts w:eastAsia="宋体"/>
              <w:sz w:val="21"/>
            </w:rPr>
            <w:tab/>
          </w:r>
          <w:r>
            <w:rPr>
              <w:rFonts w:hint="eastAsia"/>
              <w:sz w:val="21"/>
              <w:lang w:val="en-US" w:eastAsia="zh-CN"/>
            </w:rPr>
            <w:t>4</w:t>
          </w:r>
          <w:r>
            <w:rPr>
              <w:rFonts w:ascii="宋体" w:hAnsi="宋体" w:eastAsia="宋体"/>
              <w:sz w:val="21"/>
            </w:rPr>
            <w:fldChar w:fldCharType="end"/>
          </w:r>
        </w:p>
        <w:p>
          <w:pPr>
            <w:pStyle w:val="9"/>
            <w:keepNext w:val="0"/>
            <w:keepLines w:val="0"/>
            <w:pageBreakBefore w:val="0"/>
            <w:widowControl w:val="0"/>
            <w:tabs>
              <w:tab w:val="right" w:leader="middleDot" w:pos="9184"/>
            </w:tabs>
            <w:kinsoku/>
            <w:wordWrap/>
            <w:overflowPunct/>
            <w:topLinePunct w:val="0"/>
            <w:autoSpaceDE/>
            <w:autoSpaceDN/>
            <w:bidi w:val="0"/>
            <w:adjustRightInd/>
            <w:snapToGrid/>
            <w:spacing w:line="360" w:lineRule="auto"/>
            <w:textAlignment w:val="auto"/>
            <w:rPr>
              <w:rFonts w:eastAsia="宋体"/>
              <w:sz w:val="21"/>
            </w:rPr>
          </w:pPr>
          <w:r>
            <w:rPr>
              <w:rFonts w:ascii="宋体" w:hAnsi="宋体" w:eastAsia="宋体"/>
              <w:sz w:val="21"/>
            </w:rPr>
            <w:fldChar w:fldCharType="begin"/>
          </w:r>
          <w:r>
            <w:rPr>
              <w:rFonts w:ascii="宋体" w:hAnsi="宋体" w:eastAsia="宋体"/>
              <w:sz w:val="21"/>
            </w:rPr>
            <w:instrText xml:space="preserve"> HYPERLINK \l _Toc23375 </w:instrText>
          </w:r>
          <w:r>
            <w:rPr>
              <w:rFonts w:ascii="宋体" w:hAnsi="宋体" w:eastAsia="宋体"/>
              <w:sz w:val="21"/>
            </w:rPr>
            <w:fldChar w:fldCharType="separate"/>
          </w:r>
          <w:r>
            <w:rPr>
              <w:rFonts w:hint="eastAsia" w:eastAsia="宋体" w:asciiTheme="minorEastAsia" w:hAnsiTheme="minorEastAsia" w:cstheme="minorEastAsia"/>
              <w:sz w:val="21"/>
              <w:szCs w:val="21"/>
              <w:lang w:val="en-US" w:eastAsia="zh-CN"/>
            </w:rPr>
            <w:t>8质量控制</w:t>
          </w:r>
          <w:r>
            <w:rPr>
              <w:rFonts w:hint="eastAsia" w:asciiTheme="minorEastAsia" w:hAnsiTheme="minorEastAsia" w:cstheme="minorEastAsia"/>
              <w:sz w:val="21"/>
              <w:szCs w:val="21"/>
              <w:lang w:val="en-US" w:eastAsia="zh-CN"/>
            </w:rPr>
            <w:t>规则</w:t>
          </w:r>
          <w:r>
            <w:rPr>
              <w:rFonts w:eastAsia="宋体"/>
              <w:sz w:val="21"/>
            </w:rPr>
            <w:tab/>
          </w:r>
          <w:r>
            <w:rPr>
              <w:rFonts w:hint="eastAsia"/>
              <w:sz w:val="21"/>
              <w:lang w:val="en-US" w:eastAsia="zh-CN"/>
            </w:rPr>
            <w:t>4</w:t>
          </w:r>
          <w:r>
            <w:rPr>
              <w:rFonts w:ascii="宋体" w:hAnsi="宋体" w:eastAsia="宋体"/>
              <w:sz w:val="21"/>
            </w:rPr>
            <w:fldChar w:fldCharType="end"/>
          </w:r>
        </w:p>
        <w:p>
          <w:pPr>
            <w:pStyle w:val="9"/>
            <w:keepNext w:val="0"/>
            <w:keepLines w:val="0"/>
            <w:pageBreakBefore w:val="0"/>
            <w:widowControl w:val="0"/>
            <w:tabs>
              <w:tab w:val="right" w:leader="middleDot" w:pos="9184"/>
            </w:tabs>
            <w:kinsoku/>
            <w:wordWrap/>
            <w:overflowPunct/>
            <w:topLinePunct w:val="0"/>
            <w:autoSpaceDE/>
            <w:autoSpaceDN/>
            <w:bidi w:val="0"/>
            <w:adjustRightInd/>
            <w:snapToGrid/>
            <w:spacing w:line="360" w:lineRule="auto"/>
            <w:textAlignment w:val="auto"/>
            <w:rPr>
              <w:rFonts w:eastAsia="宋体"/>
              <w:sz w:val="21"/>
            </w:rPr>
          </w:pPr>
          <w:r>
            <w:rPr>
              <w:rFonts w:ascii="宋体" w:hAnsi="宋体" w:eastAsia="宋体"/>
              <w:sz w:val="21"/>
            </w:rPr>
            <w:fldChar w:fldCharType="begin"/>
          </w:r>
          <w:r>
            <w:rPr>
              <w:rFonts w:ascii="宋体" w:hAnsi="宋体" w:eastAsia="宋体"/>
              <w:sz w:val="21"/>
            </w:rPr>
            <w:instrText xml:space="preserve"> HYPERLINK \l _Toc15442 </w:instrText>
          </w:r>
          <w:r>
            <w:rPr>
              <w:rFonts w:ascii="宋体" w:hAnsi="宋体" w:eastAsia="宋体"/>
              <w:sz w:val="21"/>
            </w:rPr>
            <w:fldChar w:fldCharType="separate"/>
          </w:r>
          <w:r>
            <w:rPr>
              <w:rFonts w:hint="eastAsia" w:eastAsia="宋体" w:asciiTheme="minorEastAsia" w:hAnsiTheme="minorEastAsia" w:cstheme="minorEastAsia"/>
              <w:sz w:val="21"/>
              <w:szCs w:val="21"/>
              <w:lang w:val="en-US" w:eastAsia="zh-CN"/>
            </w:rPr>
            <w:t>9</w:t>
          </w:r>
          <w:r>
            <w:rPr>
              <w:rFonts w:hint="eastAsia" w:eastAsia="宋体" w:asciiTheme="minorEastAsia" w:hAnsiTheme="minorEastAsia" w:cstheme="minorEastAsia"/>
              <w:sz w:val="21"/>
              <w:szCs w:val="21"/>
            </w:rPr>
            <w:t>标志、包装、运输和贮存</w:t>
          </w:r>
          <w:r>
            <w:rPr>
              <w:rFonts w:eastAsia="宋体"/>
              <w:sz w:val="21"/>
            </w:rPr>
            <w:tab/>
          </w:r>
          <w:r>
            <w:rPr>
              <w:rFonts w:hint="eastAsia"/>
              <w:sz w:val="21"/>
              <w:lang w:val="en-US" w:eastAsia="zh-CN"/>
            </w:rPr>
            <w:t>6</w:t>
          </w:r>
          <w:r>
            <w:rPr>
              <w:rFonts w:ascii="宋体" w:hAnsi="宋体" w:eastAsia="宋体"/>
              <w:sz w:val="21"/>
            </w:rPr>
            <w:fldChar w:fldCharType="end"/>
          </w:r>
        </w:p>
        <w:p>
          <w:pPr>
            <w:pStyle w:val="9"/>
            <w:keepNext w:val="0"/>
            <w:keepLines w:val="0"/>
            <w:pageBreakBefore w:val="0"/>
            <w:widowControl w:val="0"/>
            <w:tabs>
              <w:tab w:val="right" w:leader="middleDot" w:pos="9184"/>
            </w:tabs>
            <w:kinsoku/>
            <w:wordWrap/>
            <w:overflowPunct/>
            <w:topLinePunct w:val="0"/>
            <w:autoSpaceDE/>
            <w:autoSpaceDN/>
            <w:bidi w:val="0"/>
            <w:adjustRightInd/>
            <w:snapToGrid/>
            <w:spacing w:line="360" w:lineRule="auto"/>
            <w:textAlignment w:val="auto"/>
            <w:rPr>
              <w:rFonts w:eastAsia="宋体"/>
              <w:sz w:val="21"/>
            </w:rPr>
          </w:pPr>
          <w:r>
            <w:rPr>
              <w:rFonts w:ascii="宋体" w:hAnsi="宋体" w:eastAsia="宋体"/>
              <w:sz w:val="21"/>
            </w:rPr>
            <w:fldChar w:fldCharType="begin"/>
          </w:r>
          <w:r>
            <w:rPr>
              <w:rFonts w:ascii="宋体" w:hAnsi="宋体" w:eastAsia="宋体"/>
              <w:sz w:val="21"/>
            </w:rPr>
            <w:instrText xml:space="preserve"> HYPERLINK \l _Toc31126 </w:instrText>
          </w:r>
          <w:r>
            <w:rPr>
              <w:rFonts w:ascii="宋体" w:hAnsi="宋体" w:eastAsia="宋体"/>
              <w:sz w:val="21"/>
            </w:rPr>
            <w:fldChar w:fldCharType="separate"/>
          </w:r>
          <w:r>
            <w:rPr>
              <w:rFonts w:hint="eastAsia" w:eastAsia="宋体" w:asciiTheme="minorEastAsia" w:hAnsiTheme="minorEastAsia" w:cstheme="minorEastAsia"/>
              <w:sz w:val="21"/>
              <w:szCs w:val="21"/>
              <w:lang w:val="en-US" w:eastAsia="zh-CN"/>
            </w:rPr>
            <w:t>附录A（资料性附录）废油脂转化生物浮选剂  酸值的测定</w:t>
          </w:r>
          <w:r>
            <w:rPr>
              <w:rFonts w:eastAsia="宋体"/>
              <w:sz w:val="21"/>
            </w:rPr>
            <w:tab/>
          </w:r>
          <w:r>
            <w:rPr>
              <w:rFonts w:hint="eastAsia"/>
              <w:sz w:val="21"/>
              <w:lang w:val="en-US" w:eastAsia="zh-CN"/>
            </w:rPr>
            <w:t>7</w:t>
          </w:r>
          <w:r>
            <w:rPr>
              <w:rFonts w:ascii="宋体" w:hAnsi="宋体" w:eastAsia="宋体"/>
              <w:sz w:val="21"/>
            </w:rPr>
            <w:fldChar w:fldCharType="end"/>
          </w:r>
        </w:p>
        <w:p>
          <w:pPr>
            <w:pStyle w:val="9"/>
            <w:keepNext w:val="0"/>
            <w:keepLines w:val="0"/>
            <w:pageBreakBefore w:val="0"/>
            <w:widowControl w:val="0"/>
            <w:tabs>
              <w:tab w:val="right" w:leader="middleDot" w:pos="9184"/>
            </w:tabs>
            <w:kinsoku/>
            <w:wordWrap/>
            <w:overflowPunct/>
            <w:topLinePunct w:val="0"/>
            <w:autoSpaceDE/>
            <w:autoSpaceDN/>
            <w:bidi w:val="0"/>
            <w:adjustRightInd/>
            <w:snapToGrid/>
            <w:spacing w:line="360" w:lineRule="auto"/>
            <w:textAlignment w:val="auto"/>
            <w:rPr>
              <w:rFonts w:hint="eastAsia" w:eastAsia="宋体"/>
              <w:lang w:val="en-US" w:eastAsia="zh-CN"/>
            </w:rPr>
          </w:pPr>
          <w:r>
            <w:rPr>
              <w:rFonts w:ascii="宋体" w:hAnsi="宋体" w:eastAsia="宋体"/>
              <w:sz w:val="21"/>
            </w:rPr>
            <w:fldChar w:fldCharType="begin"/>
          </w:r>
          <w:r>
            <w:rPr>
              <w:rFonts w:ascii="宋体" w:hAnsi="宋体" w:eastAsia="宋体"/>
              <w:sz w:val="21"/>
            </w:rPr>
            <w:instrText xml:space="preserve"> HYPERLINK \l _Toc8720 </w:instrText>
          </w:r>
          <w:r>
            <w:rPr>
              <w:rFonts w:ascii="宋体" w:hAnsi="宋体" w:eastAsia="宋体"/>
              <w:sz w:val="21"/>
            </w:rPr>
            <w:fldChar w:fldCharType="separate"/>
          </w:r>
          <w:r>
            <w:rPr>
              <w:rFonts w:hint="eastAsia" w:eastAsia="宋体" w:asciiTheme="minorEastAsia" w:hAnsiTheme="minorEastAsia" w:cstheme="minorEastAsia"/>
              <w:sz w:val="21"/>
              <w:szCs w:val="21"/>
              <w:lang w:val="en-US" w:eastAsia="zh-CN"/>
            </w:rPr>
            <w:t>附录B（资料性附录）浮选剂组分含量百分数的的测定</w:t>
          </w:r>
          <w:r>
            <w:rPr>
              <w:rFonts w:eastAsia="宋体"/>
              <w:sz w:val="21"/>
            </w:rPr>
            <w:tab/>
          </w:r>
          <w:r>
            <w:rPr>
              <w:rFonts w:hint="eastAsia"/>
              <w:sz w:val="21"/>
              <w:lang w:val="en-US" w:eastAsia="zh-CN"/>
            </w:rPr>
            <w:t>1</w:t>
          </w:r>
          <w:r>
            <w:rPr>
              <w:rFonts w:ascii="宋体" w:hAnsi="宋体" w:eastAsia="宋体"/>
              <w:sz w:val="21"/>
            </w:rPr>
            <w:fldChar w:fldCharType="end"/>
          </w:r>
          <w:r>
            <w:rPr>
              <w:rFonts w:hint="eastAsia"/>
              <w:sz w:val="21"/>
              <w:lang w:val="en-US" w:eastAsia="zh-CN"/>
            </w:rPr>
            <w:t>0</w:t>
          </w:r>
        </w:p>
        <w:p>
          <w:pPr>
            <w:pStyle w:val="9"/>
            <w:tabs>
              <w:tab w:val="right" w:leader="middleDot" w:pos="9184"/>
            </w:tabs>
          </w:pPr>
        </w:p>
        <w:p>
          <w:pPr>
            <w:spacing w:line="450" w:lineRule="exact"/>
            <w:outlineLvl w:val="9"/>
            <w:rPr>
              <w:rFonts w:ascii="宋体" w:hAnsi="宋体"/>
              <w:sz w:val="24"/>
            </w:rPr>
          </w:pPr>
          <w:r>
            <w:rPr>
              <w:rFonts w:ascii="宋体" w:hAnsi="宋体"/>
            </w:rPr>
            <w:fldChar w:fldCharType="end"/>
          </w:r>
        </w:p>
      </w:sdtContent>
    </w:sdt>
    <w:p>
      <w:pPr>
        <w:spacing w:line="450" w:lineRule="exact"/>
        <w:ind w:firstLine="480" w:firstLineChars="200"/>
        <w:rPr>
          <w:rFonts w:ascii="宋体" w:hAnsi="宋体"/>
          <w:sz w:val="24"/>
        </w:rPr>
      </w:pPr>
    </w:p>
    <w:p>
      <w:pPr>
        <w:spacing w:line="450" w:lineRule="exact"/>
        <w:ind w:firstLine="480" w:firstLineChars="200"/>
        <w:rPr>
          <w:rFonts w:ascii="宋体" w:hAnsi="宋体"/>
          <w:sz w:val="24"/>
        </w:rPr>
      </w:pPr>
    </w:p>
    <w:p>
      <w:pPr>
        <w:spacing w:line="450" w:lineRule="exact"/>
        <w:ind w:firstLine="480" w:firstLineChars="200"/>
        <w:rPr>
          <w:rFonts w:ascii="宋体" w:hAnsi="宋体"/>
          <w:sz w:val="24"/>
        </w:rPr>
      </w:pPr>
    </w:p>
    <w:p>
      <w:pPr>
        <w:spacing w:line="450" w:lineRule="exact"/>
        <w:ind w:firstLine="480" w:firstLineChars="200"/>
        <w:rPr>
          <w:rFonts w:ascii="宋体" w:hAnsi="宋体"/>
          <w:sz w:val="24"/>
        </w:rPr>
      </w:pPr>
    </w:p>
    <w:p>
      <w:pPr>
        <w:spacing w:line="450" w:lineRule="exact"/>
        <w:ind w:firstLine="480" w:firstLineChars="200"/>
        <w:rPr>
          <w:rFonts w:ascii="宋体" w:hAnsi="宋体"/>
          <w:sz w:val="24"/>
        </w:rPr>
      </w:pPr>
    </w:p>
    <w:p>
      <w:pPr>
        <w:spacing w:line="450" w:lineRule="exact"/>
        <w:ind w:firstLine="480" w:firstLineChars="200"/>
        <w:rPr>
          <w:rFonts w:ascii="宋体" w:hAnsi="宋体"/>
          <w:sz w:val="24"/>
        </w:rPr>
      </w:pPr>
    </w:p>
    <w:p>
      <w:pPr>
        <w:spacing w:line="450" w:lineRule="exact"/>
        <w:ind w:firstLine="480" w:firstLineChars="200"/>
        <w:rPr>
          <w:rFonts w:ascii="宋体" w:hAnsi="宋体"/>
          <w:sz w:val="24"/>
        </w:rPr>
      </w:pPr>
    </w:p>
    <w:p>
      <w:pPr>
        <w:spacing w:line="450" w:lineRule="exact"/>
        <w:ind w:firstLine="480" w:firstLineChars="200"/>
        <w:rPr>
          <w:rFonts w:ascii="宋体" w:hAnsi="宋体"/>
          <w:sz w:val="24"/>
        </w:rPr>
      </w:pPr>
    </w:p>
    <w:p>
      <w:pPr>
        <w:spacing w:line="450" w:lineRule="exact"/>
        <w:ind w:firstLine="480" w:firstLineChars="200"/>
        <w:rPr>
          <w:rFonts w:ascii="宋体" w:hAnsi="宋体"/>
          <w:sz w:val="24"/>
        </w:rPr>
      </w:pPr>
    </w:p>
    <w:p>
      <w:pPr>
        <w:spacing w:line="450" w:lineRule="exact"/>
        <w:ind w:firstLine="480" w:firstLineChars="200"/>
        <w:rPr>
          <w:rFonts w:ascii="宋体" w:hAnsi="宋体"/>
          <w:sz w:val="24"/>
        </w:rPr>
      </w:pPr>
    </w:p>
    <w:p>
      <w:pPr>
        <w:spacing w:line="450" w:lineRule="exact"/>
        <w:ind w:firstLine="480" w:firstLineChars="200"/>
        <w:rPr>
          <w:rFonts w:ascii="宋体" w:hAnsi="宋体"/>
          <w:sz w:val="24"/>
        </w:rPr>
      </w:pPr>
    </w:p>
    <w:p>
      <w:pPr>
        <w:pStyle w:val="2"/>
        <w:bidi w:val="0"/>
        <w:jc w:val="center"/>
        <w:rPr>
          <w:rFonts w:ascii="宋体" w:hAnsi="宋体"/>
          <w:sz w:val="24"/>
        </w:rPr>
      </w:pPr>
      <w:bookmarkStart w:id="0" w:name="_Toc17246"/>
      <w:bookmarkStart w:id="1" w:name="_Toc17475"/>
      <w:r>
        <w:rPr>
          <w:rFonts w:hint="eastAsia"/>
        </w:rPr>
        <w:t>前言</w:t>
      </w:r>
      <w:bookmarkEnd w:id="0"/>
      <w:bookmarkEnd w:id="1"/>
    </w:p>
    <w:p>
      <w:pPr>
        <w:spacing w:line="45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本文件按照GB/T 1.1-2020《标准化工作导则 第1部分：标准化文件的结构和起草规则》的规定起草。</w:t>
      </w:r>
    </w:p>
    <w:p>
      <w:pPr>
        <w:spacing w:line="45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本文件由山西省工业和信息化厅提出</w:t>
      </w:r>
      <w:r>
        <w:rPr>
          <w:rFonts w:hint="eastAsia" w:asciiTheme="minorEastAsia" w:hAnsiTheme="minorEastAsia" w:cstheme="minorEastAsia"/>
          <w:szCs w:val="21"/>
          <w:lang w:val="en-US" w:eastAsia="zh-CN"/>
        </w:rPr>
        <w:t>并</w:t>
      </w:r>
      <w:r>
        <w:rPr>
          <w:rFonts w:hint="eastAsia" w:asciiTheme="minorEastAsia" w:hAnsiTheme="minorEastAsia" w:eastAsiaTheme="minorEastAsia" w:cstheme="minorEastAsia"/>
          <w:szCs w:val="21"/>
        </w:rPr>
        <w:t>监督实施。</w:t>
      </w:r>
    </w:p>
    <w:p>
      <w:pPr>
        <w:spacing w:line="45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本文件由山西省煤化工标准化技术委员会归口。</w:t>
      </w:r>
    </w:p>
    <w:p>
      <w:pPr>
        <w:spacing w:line="45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本文件起草单位：太原纽普瑞科技有限公司、太原理工大学、山西焦煤集团</w:t>
      </w:r>
      <w:r>
        <w:rPr>
          <w:rFonts w:hint="eastAsia" w:asciiTheme="minorEastAsia" w:hAnsiTheme="minorEastAsia" w:eastAsiaTheme="minorEastAsia" w:cstheme="minorEastAsia"/>
          <w:szCs w:val="21"/>
          <w:highlight w:val="none"/>
        </w:rPr>
        <w:t>能源集团股份</w:t>
      </w:r>
      <w:r>
        <w:rPr>
          <w:rFonts w:hint="eastAsia" w:asciiTheme="minorEastAsia" w:hAnsiTheme="minorEastAsia" w:eastAsiaTheme="minorEastAsia" w:cstheme="minorEastAsia"/>
          <w:szCs w:val="21"/>
        </w:rPr>
        <w:t>有限公司、北京启迪德清生物能源科技有限公司。</w:t>
      </w:r>
    </w:p>
    <w:p>
      <w:pPr>
        <w:spacing w:line="45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本文件主要起草人：</w:t>
      </w:r>
      <w:r>
        <w:rPr>
          <w:rFonts w:hint="eastAsia" w:asciiTheme="minorEastAsia" w:hAnsiTheme="minorEastAsia" w:cstheme="minorEastAsia"/>
          <w:spacing w:val="8"/>
          <w:sz w:val="21"/>
          <w:szCs w:val="21"/>
          <w:shd w:val="clear" w:color="auto" w:fill="FFFFFF"/>
        </w:rPr>
        <w:t>张继龙、高建川、</w:t>
      </w:r>
      <w:r>
        <w:rPr>
          <w:rFonts w:hint="eastAsia" w:asciiTheme="minorEastAsia" w:hAnsiTheme="minorEastAsia" w:cstheme="minorEastAsia"/>
          <w:spacing w:val="8"/>
          <w:sz w:val="21"/>
          <w:szCs w:val="21"/>
          <w:shd w:val="clear" w:color="auto" w:fill="FFFFFF"/>
          <w:lang w:val="en-US" w:eastAsia="zh-CN"/>
        </w:rPr>
        <w:t>张治军、</w:t>
      </w:r>
      <w:r>
        <w:rPr>
          <w:rFonts w:hint="eastAsia" w:asciiTheme="minorEastAsia" w:hAnsiTheme="minorEastAsia" w:cstheme="minorEastAsia"/>
          <w:spacing w:val="8"/>
          <w:sz w:val="21"/>
          <w:szCs w:val="21"/>
          <w:shd w:val="clear" w:color="auto" w:fill="FFFFFF"/>
        </w:rPr>
        <w:t>朱罗乐、</w:t>
      </w:r>
      <w:r>
        <w:rPr>
          <w:rFonts w:hint="eastAsia" w:asciiTheme="minorEastAsia" w:hAnsiTheme="minorEastAsia" w:cstheme="minorEastAsia"/>
          <w:spacing w:val="8"/>
          <w:sz w:val="21"/>
          <w:szCs w:val="21"/>
          <w:shd w:val="clear" w:color="auto" w:fill="FFFFFF"/>
          <w:lang w:val="en-US" w:eastAsia="zh-CN"/>
        </w:rPr>
        <w:t>赵志仝、付思美、</w:t>
      </w:r>
      <w:r>
        <w:rPr>
          <w:rFonts w:hint="eastAsia" w:asciiTheme="minorEastAsia" w:hAnsiTheme="minorEastAsia" w:cstheme="minorEastAsia"/>
          <w:spacing w:val="8"/>
          <w:sz w:val="21"/>
          <w:szCs w:val="21"/>
          <w:shd w:val="clear" w:color="auto" w:fill="FFFFFF"/>
        </w:rPr>
        <w:t>周小雯、徐丽红。</w:t>
      </w:r>
    </w:p>
    <w:p>
      <w:pPr>
        <w:spacing w:line="480" w:lineRule="auto"/>
        <w:jc w:val="center"/>
        <w:rPr>
          <w:rFonts w:ascii="宋体" w:hAnsi="宋体"/>
          <w:b/>
          <w:sz w:val="48"/>
          <w:szCs w:val="48"/>
        </w:rPr>
      </w:pPr>
    </w:p>
    <w:p>
      <w:pPr>
        <w:spacing w:line="480" w:lineRule="auto"/>
        <w:jc w:val="center"/>
        <w:rPr>
          <w:rFonts w:ascii="宋体" w:hAnsi="宋体"/>
          <w:b/>
          <w:sz w:val="48"/>
          <w:szCs w:val="48"/>
        </w:rPr>
      </w:pPr>
    </w:p>
    <w:p>
      <w:pPr>
        <w:spacing w:line="480" w:lineRule="auto"/>
        <w:jc w:val="center"/>
        <w:rPr>
          <w:rFonts w:ascii="宋体" w:hAnsi="宋体"/>
          <w:b/>
          <w:sz w:val="48"/>
          <w:szCs w:val="48"/>
        </w:rPr>
      </w:pPr>
    </w:p>
    <w:p>
      <w:pPr>
        <w:spacing w:line="480" w:lineRule="auto"/>
        <w:jc w:val="center"/>
        <w:rPr>
          <w:rFonts w:ascii="宋体" w:hAnsi="宋体"/>
          <w:b/>
          <w:sz w:val="48"/>
          <w:szCs w:val="48"/>
        </w:rPr>
      </w:pPr>
    </w:p>
    <w:p>
      <w:pPr>
        <w:spacing w:line="480" w:lineRule="auto"/>
        <w:jc w:val="center"/>
        <w:rPr>
          <w:rFonts w:ascii="宋体" w:hAnsi="宋体"/>
          <w:b/>
          <w:sz w:val="48"/>
          <w:szCs w:val="48"/>
        </w:rPr>
      </w:pPr>
    </w:p>
    <w:p>
      <w:pPr>
        <w:spacing w:line="480" w:lineRule="auto"/>
        <w:jc w:val="center"/>
        <w:rPr>
          <w:rFonts w:ascii="宋体" w:hAnsi="宋体"/>
          <w:b/>
          <w:sz w:val="48"/>
          <w:szCs w:val="48"/>
        </w:rPr>
      </w:pPr>
    </w:p>
    <w:p>
      <w:pPr>
        <w:spacing w:line="480" w:lineRule="auto"/>
        <w:jc w:val="center"/>
        <w:rPr>
          <w:rFonts w:ascii="宋体" w:hAnsi="宋体"/>
          <w:b/>
          <w:sz w:val="48"/>
          <w:szCs w:val="48"/>
        </w:rPr>
      </w:pPr>
    </w:p>
    <w:p>
      <w:pPr>
        <w:spacing w:line="480" w:lineRule="auto"/>
        <w:jc w:val="center"/>
        <w:rPr>
          <w:rFonts w:ascii="宋体" w:hAnsi="宋体"/>
          <w:b/>
          <w:sz w:val="48"/>
          <w:szCs w:val="48"/>
        </w:rPr>
      </w:pPr>
    </w:p>
    <w:p>
      <w:pPr>
        <w:spacing w:line="480" w:lineRule="auto"/>
        <w:jc w:val="center"/>
        <w:rPr>
          <w:rFonts w:ascii="宋体" w:hAnsi="宋体"/>
          <w:b/>
          <w:sz w:val="48"/>
          <w:szCs w:val="48"/>
        </w:rPr>
      </w:pPr>
    </w:p>
    <w:p>
      <w:pPr>
        <w:spacing w:line="480" w:lineRule="auto"/>
        <w:jc w:val="center"/>
        <w:outlineLvl w:val="0"/>
        <w:rPr>
          <w:rFonts w:hint="eastAsia" w:ascii="黑体" w:hAnsi="黑体" w:eastAsia="黑体"/>
          <w:bCs/>
          <w:sz w:val="32"/>
          <w:szCs w:val="32"/>
          <w:lang w:val="en-US" w:eastAsia="zh-CN"/>
        </w:rPr>
        <w:sectPr>
          <w:footerReference r:id="rId4" w:type="default"/>
          <w:pgSz w:w="11906" w:h="16838"/>
          <w:pgMar w:top="1587" w:right="1361" w:bottom="1417" w:left="1361" w:header="851" w:footer="992" w:gutter="0"/>
          <w:pgNumType w:fmt="upperRoman" w:start="1"/>
          <w:cols w:space="720" w:num="1"/>
          <w:docGrid w:type="lines" w:linePitch="312" w:charSpace="0"/>
        </w:sectPr>
      </w:pPr>
      <w:bookmarkStart w:id="2" w:name="_Toc20752"/>
      <w:bookmarkStart w:id="3" w:name="_Toc5491"/>
    </w:p>
    <w:p>
      <w:pPr>
        <w:spacing w:line="480" w:lineRule="auto"/>
        <w:jc w:val="center"/>
        <w:outlineLvl w:val="0"/>
        <w:rPr>
          <w:rFonts w:hint="eastAsia" w:ascii="黑体" w:hAnsi="黑体" w:eastAsia="黑体"/>
          <w:bCs/>
          <w:sz w:val="32"/>
          <w:szCs w:val="32"/>
        </w:rPr>
      </w:pPr>
      <w:r>
        <w:rPr>
          <w:rFonts w:hint="eastAsia" w:ascii="黑体" w:hAnsi="黑体" w:eastAsia="黑体"/>
          <w:bCs/>
          <w:sz w:val="32"/>
          <w:szCs w:val="32"/>
          <w:lang w:val="en-US" w:eastAsia="zh-CN"/>
        </w:rPr>
        <w:t>废油脂转化</w:t>
      </w:r>
      <w:r>
        <w:rPr>
          <w:rFonts w:hint="eastAsia" w:ascii="黑体" w:hAnsi="黑体" w:eastAsia="黑体"/>
          <w:bCs/>
          <w:sz w:val="32"/>
          <w:szCs w:val="32"/>
        </w:rPr>
        <w:t>生物浮选剂</w:t>
      </w:r>
      <w:r>
        <w:rPr>
          <w:rFonts w:hint="eastAsia" w:ascii="黑体" w:hAnsi="黑体" w:eastAsia="黑体"/>
          <w:bCs/>
          <w:sz w:val="32"/>
          <w:szCs w:val="32"/>
          <w:lang w:eastAsia="zh-CN"/>
        </w:rPr>
        <w:t>技术规程</w:t>
      </w:r>
      <w:bookmarkEnd w:id="2"/>
      <w:bookmarkEnd w:id="3"/>
    </w:p>
    <w:p>
      <w:pPr>
        <w:spacing w:line="450" w:lineRule="exact"/>
        <w:rPr>
          <w:rFonts w:ascii="黑体" w:hAnsi="黑体" w:eastAsia="黑体"/>
          <w:bCs/>
          <w:szCs w:val="21"/>
        </w:rPr>
      </w:pPr>
      <w:r>
        <w:rPr>
          <w:rFonts w:hint="eastAsia" w:ascii="黑体" w:hAnsi="黑体" w:eastAsia="黑体"/>
          <w:bCs/>
          <w:szCs w:val="21"/>
        </w:rPr>
        <w:t>1范围</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outlineLvl w:val="0"/>
        <w:rPr>
          <w:rFonts w:hint="eastAsia" w:ascii="宋体" w:hAnsi="宋体"/>
          <w:szCs w:val="21"/>
          <w:lang w:val="en-US" w:eastAsia="zh-CN"/>
        </w:rPr>
      </w:pPr>
      <w:bookmarkStart w:id="4" w:name="_Toc6781"/>
      <w:r>
        <w:rPr>
          <w:rFonts w:hint="eastAsia" w:ascii="宋体" w:hAnsi="宋体"/>
          <w:szCs w:val="21"/>
        </w:rPr>
        <w:t>本文件规定了</w:t>
      </w:r>
      <w:r>
        <w:rPr>
          <w:rFonts w:hint="eastAsia" w:ascii="宋体" w:hAnsi="宋体"/>
          <w:szCs w:val="21"/>
          <w:lang w:val="en-US" w:eastAsia="zh-CN"/>
        </w:rPr>
        <w:t>废油脂转化</w:t>
      </w:r>
      <w:r>
        <w:rPr>
          <w:rFonts w:hint="eastAsia" w:ascii="宋体" w:hAnsi="宋体"/>
          <w:szCs w:val="21"/>
        </w:rPr>
        <w:t>生物浮选剂的</w:t>
      </w:r>
      <w:r>
        <w:rPr>
          <w:rFonts w:hint="eastAsia" w:ascii="宋体" w:hAnsi="宋体"/>
          <w:szCs w:val="21"/>
          <w:lang w:val="en-US" w:eastAsia="zh-CN"/>
        </w:rPr>
        <w:t>原材料要求、半成品技术要求、成品技术要求、生产工艺安全要求及质量控制规则等。</w:t>
      </w:r>
      <w:bookmarkEnd w:id="4"/>
    </w:p>
    <w:p>
      <w:pPr>
        <w:spacing w:line="450" w:lineRule="exact"/>
        <w:ind w:firstLine="420" w:firstLineChars="200"/>
        <w:rPr>
          <w:rFonts w:hint="eastAsia" w:ascii="宋体" w:hAnsi="宋体" w:eastAsiaTheme="minorEastAsia"/>
          <w:szCs w:val="21"/>
          <w:highlight w:val="yellow"/>
          <w:lang w:eastAsia="zh-CN"/>
        </w:rPr>
      </w:pPr>
      <w:r>
        <w:rPr>
          <w:rFonts w:hint="eastAsia" w:ascii="宋体" w:hAnsi="宋体"/>
          <w:szCs w:val="21"/>
        </w:rPr>
        <w:t>本文件适用于煤泥洗选生产过程中所用的浮选剂的</w:t>
      </w:r>
      <w:r>
        <w:rPr>
          <w:rFonts w:hint="eastAsia" w:ascii="宋体" w:hAnsi="宋体"/>
          <w:szCs w:val="21"/>
          <w:lang w:val="en-US" w:eastAsia="zh-CN"/>
        </w:rPr>
        <w:t>生产和</w:t>
      </w:r>
      <w:r>
        <w:rPr>
          <w:rFonts w:hint="eastAsia" w:ascii="宋体" w:hAnsi="宋体"/>
          <w:szCs w:val="21"/>
        </w:rPr>
        <w:t>质量控制</w:t>
      </w:r>
      <w:r>
        <w:rPr>
          <w:rFonts w:hint="eastAsia" w:ascii="宋体" w:hAnsi="宋体"/>
          <w:szCs w:val="21"/>
          <w:lang w:eastAsia="zh-CN"/>
        </w:rPr>
        <w:t>。</w:t>
      </w:r>
    </w:p>
    <w:p>
      <w:pPr>
        <w:spacing w:line="450" w:lineRule="exact"/>
        <w:jc w:val="left"/>
        <w:rPr>
          <w:rFonts w:ascii="黑体" w:hAnsi="黑体" w:eastAsia="黑体"/>
          <w:bCs/>
          <w:szCs w:val="21"/>
        </w:rPr>
      </w:pPr>
      <w:r>
        <w:rPr>
          <w:rFonts w:hint="eastAsia" w:ascii="黑体" w:hAnsi="黑体" w:eastAsia="黑体"/>
          <w:bCs/>
          <w:szCs w:val="21"/>
        </w:rPr>
        <w:t>2规范性引用文件</w:t>
      </w:r>
    </w:p>
    <w:p>
      <w:pPr>
        <w:spacing w:line="450" w:lineRule="exact"/>
        <w:ind w:left="210" w:leftChars="100" w:firstLine="210" w:firstLineChars="100"/>
        <w:rPr>
          <w:rFonts w:hint="eastAsia" w:ascii="宋体" w:hAnsi="宋体"/>
          <w:color w:val="auto"/>
          <w:szCs w:val="21"/>
          <w:lang w:val="en-US" w:eastAsia="zh-CN"/>
        </w:rPr>
      </w:pPr>
      <w:r>
        <w:rPr>
          <w:rFonts w:hint="eastAsia" w:ascii="宋体" w:hAnsi="宋体"/>
          <w:color w:val="auto"/>
          <w:szCs w:val="21"/>
        </w:rPr>
        <w:t>下列文件</w:t>
      </w:r>
      <w:r>
        <w:rPr>
          <w:rFonts w:hint="eastAsia" w:ascii="宋体" w:hAnsi="宋体"/>
          <w:color w:val="auto"/>
          <w:szCs w:val="21"/>
          <w:lang w:val="en-US" w:eastAsia="zh-CN"/>
        </w:rPr>
        <w:t xml:space="preserve">中的内容通过文中的规范性引用而构成本文件必不可少的条款，其中注日期的引用文件，仅该日期对应的版本适用于本文件，不注日期的引用文件，其最新版本（包括所有的修改单）适用于本文件。  </w:t>
      </w:r>
    </w:p>
    <w:p>
      <w:pPr>
        <w:spacing w:line="450" w:lineRule="exact"/>
        <w:ind w:firstLine="420" w:firstLineChars="200"/>
        <w:rPr>
          <w:rFonts w:ascii="宋体" w:hAnsi="宋体"/>
          <w:szCs w:val="21"/>
        </w:rPr>
      </w:pPr>
      <w:r>
        <w:rPr>
          <w:rFonts w:hint="eastAsia" w:ascii="宋体" w:hAnsi="宋体"/>
          <w:szCs w:val="21"/>
        </w:rPr>
        <w:t>GB/T 261闪点的测定 宾斯基-马丁闭口杯法</w:t>
      </w:r>
    </w:p>
    <w:p>
      <w:pPr>
        <w:spacing w:line="450" w:lineRule="exact"/>
        <w:ind w:firstLine="420" w:firstLineChars="200"/>
        <w:rPr>
          <w:rFonts w:ascii="宋体" w:hAnsi="宋体"/>
          <w:szCs w:val="21"/>
        </w:rPr>
      </w:pPr>
      <w:r>
        <w:rPr>
          <w:rFonts w:hint="eastAsia" w:ascii="宋体" w:hAnsi="宋体"/>
          <w:szCs w:val="21"/>
        </w:rPr>
        <w:t>GB/T 264石油产品酸值测定法</w:t>
      </w:r>
    </w:p>
    <w:p>
      <w:pPr>
        <w:spacing w:line="450" w:lineRule="exact"/>
        <w:ind w:firstLine="420" w:firstLineChars="200"/>
        <w:rPr>
          <w:rFonts w:ascii="宋体" w:hAnsi="宋体"/>
          <w:szCs w:val="21"/>
        </w:rPr>
      </w:pPr>
      <w:r>
        <w:rPr>
          <w:rFonts w:hint="eastAsia" w:ascii="宋体" w:hAnsi="宋体"/>
          <w:szCs w:val="21"/>
        </w:rPr>
        <w:t>GB/T 265石油产品运动粘度测定法</w:t>
      </w:r>
    </w:p>
    <w:p>
      <w:pPr>
        <w:spacing w:line="450" w:lineRule="exact"/>
        <w:ind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GB/T</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lang w:val="en-US" w:eastAsia="zh-CN"/>
        </w:rPr>
        <w:t>311工业甲醇</w:t>
      </w:r>
    </w:p>
    <w:p>
      <w:pPr>
        <w:spacing w:line="450" w:lineRule="exact"/>
        <w:ind w:firstLine="420" w:firstLineChars="20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GB/T</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lang w:val="en-US" w:eastAsia="zh-CN"/>
        </w:rPr>
        <w:t>394.1</w:t>
      </w:r>
      <w:r>
        <w:rPr>
          <w:rFonts w:hint="default" w:asciiTheme="minorEastAsia" w:hAnsiTheme="minorEastAsia" w:eastAsiaTheme="minorEastAsia" w:cstheme="minorEastAsia"/>
          <w:szCs w:val="21"/>
          <w:lang w:val="en-US" w:eastAsia="zh-CN"/>
        </w:rPr>
        <w:t>工业酒精</w:t>
      </w:r>
    </w:p>
    <w:p>
      <w:pPr>
        <w:spacing w:line="450" w:lineRule="exact"/>
        <w:ind w:firstLine="420" w:firstLineChars="200"/>
        <w:rPr>
          <w:rFonts w:ascii="宋体" w:hAnsi="宋体"/>
          <w:szCs w:val="21"/>
        </w:rPr>
      </w:pPr>
      <w:r>
        <w:rPr>
          <w:rFonts w:hint="eastAsia" w:ascii="宋体" w:hAnsi="宋体"/>
          <w:szCs w:val="21"/>
        </w:rPr>
        <w:t>GB/T 510石油产品凝点测定法</w:t>
      </w:r>
    </w:p>
    <w:p>
      <w:pPr>
        <w:spacing w:line="450" w:lineRule="exact"/>
        <w:ind w:firstLine="420" w:firstLineChars="200"/>
        <w:rPr>
          <w:rFonts w:ascii="宋体" w:hAnsi="宋体"/>
          <w:szCs w:val="21"/>
        </w:rPr>
      </w:pPr>
      <w:r>
        <w:rPr>
          <w:rFonts w:hint="eastAsia" w:ascii="宋体" w:hAnsi="宋体"/>
          <w:szCs w:val="21"/>
        </w:rPr>
        <w:t>GB/T 1250极限数值的表示方法和判定方法</w:t>
      </w:r>
    </w:p>
    <w:p>
      <w:pPr>
        <w:spacing w:line="450" w:lineRule="exact"/>
        <w:ind w:firstLine="420" w:firstLineChars="200"/>
        <w:rPr>
          <w:rFonts w:ascii="宋体" w:hAnsi="宋体"/>
          <w:szCs w:val="21"/>
        </w:rPr>
      </w:pPr>
      <w:r>
        <w:rPr>
          <w:rFonts w:hint="eastAsia" w:ascii="宋体" w:hAnsi="宋体"/>
          <w:szCs w:val="21"/>
        </w:rPr>
        <w:t>GB/T 1884石油产品密度测定</w:t>
      </w:r>
    </w:p>
    <w:p>
      <w:pPr>
        <w:spacing w:line="450" w:lineRule="exact"/>
        <w:ind w:firstLine="420" w:firstLineChars="200"/>
        <w:rPr>
          <w:rFonts w:hint="eastAsia" w:ascii="宋体" w:hAnsi="宋体"/>
          <w:szCs w:val="21"/>
        </w:rPr>
      </w:pPr>
      <w:r>
        <w:rPr>
          <w:rFonts w:hint="eastAsia" w:ascii="宋体" w:hAnsi="宋体"/>
          <w:szCs w:val="21"/>
        </w:rPr>
        <w:t>GB/T 4745 选煤实验室单元浮选试验方法</w:t>
      </w:r>
    </w:p>
    <w:p>
      <w:pPr>
        <w:spacing w:line="450" w:lineRule="exact"/>
        <w:ind w:firstLine="420" w:firstLineChars="200"/>
        <w:rPr>
          <w:rFonts w:hint="eastAsia" w:ascii="宋体" w:hAnsi="宋体" w:eastAsiaTheme="minorEastAsia"/>
          <w:szCs w:val="21"/>
          <w:lang w:eastAsia="zh-CN"/>
        </w:rPr>
      </w:pPr>
      <w:r>
        <w:rPr>
          <w:rFonts w:ascii="宋体" w:hAnsi="宋体"/>
          <w:szCs w:val="21"/>
        </w:rPr>
        <w:t>GB/T</w:t>
      </w:r>
      <w:r>
        <w:rPr>
          <w:rFonts w:hint="eastAsia" w:ascii="宋体" w:hAnsi="宋体"/>
          <w:szCs w:val="21"/>
        </w:rPr>
        <w:t xml:space="preserve"> </w:t>
      </w:r>
      <w:r>
        <w:rPr>
          <w:rFonts w:hint="eastAsia" w:ascii="宋体" w:hAnsi="宋体"/>
          <w:szCs w:val="21"/>
          <w:lang w:val="en-US" w:eastAsia="zh-CN"/>
        </w:rPr>
        <w:t>4756</w:t>
      </w:r>
      <w:r>
        <w:rPr>
          <w:rFonts w:hint="eastAsia" w:ascii="宋体" w:hAnsi="宋体"/>
          <w:szCs w:val="21"/>
        </w:rPr>
        <w:t xml:space="preserve"> </w:t>
      </w:r>
      <w:r>
        <w:rPr>
          <w:rFonts w:hint="eastAsia" w:ascii="宋体" w:hAnsi="宋体"/>
          <w:szCs w:val="21"/>
          <w:lang w:eastAsia="zh-CN"/>
        </w:rPr>
        <w:t>石油</w:t>
      </w:r>
      <w:r>
        <w:rPr>
          <w:rFonts w:ascii="宋体" w:hAnsi="宋体"/>
          <w:szCs w:val="21"/>
        </w:rPr>
        <w:t>液体</w:t>
      </w:r>
      <w:r>
        <w:rPr>
          <w:rFonts w:hint="eastAsia" w:ascii="宋体" w:hAnsi="宋体"/>
          <w:szCs w:val="21"/>
          <w:lang w:eastAsia="zh-CN"/>
        </w:rPr>
        <w:t>手</w:t>
      </w:r>
      <w:r>
        <w:rPr>
          <w:rFonts w:ascii="宋体" w:hAnsi="宋体"/>
          <w:szCs w:val="21"/>
        </w:rPr>
        <w:t>工</w:t>
      </w:r>
      <w:r>
        <w:rPr>
          <w:rFonts w:hint="eastAsia" w:ascii="宋体" w:hAnsi="宋体"/>
          <w:szCs w:val="21"/>
          <w:lang w:eastAsia="zh-CN"/>
        </w:rPr>
        <w:t>取</w:t>
      </w:r>
      <w:r>
        <w:rPr>
          <w:rFonts w:ascii="宋体" w:hAnsi="宋体"/>
          <w:szCs w:val="21"/>
        </w:rPr>
        <w:t>样</w:t>
      </w:r>
      <w:r>
        <w:rPr>
          <w:rFonts w:hint="eastAsia" w:ascii="宋体" w:hAnsi="宋体"/>
          <w:szCs w:val="21"/>
          <w:lang w:eastAsia="zh-CN"/>
        </w:rPr>
        <w:t>法</w:t>
      </w:r>
    </w:p>
    <w:p>
      <w:pPr>
        <w:spacing w:line="450" w:lineRule="exact"/>
        <w:ind w:firstLine="420" w:firstLineChars="200"/>
        <w:rPr>
          <w:rFonts w:ascii="宋体" w:hAnsi="宋体"/>
          <w:szCs w:val="21"/>
        </w:rPr>
      </w:pPr>
      <w:r>
        <w:rPr>
          <w:rFonts w:hint="eastAsia" w:ascii="宋体" w:hAnsi="宋体"/>
          <w:szCs w:val="21"/>
        </w:rPr>
        <w:t>GB 5009.229食品安全国家标准中酸价的测定</w:t>
      </w:r>
    </w:p>
    <w:p>
      <w:pPr>
        <w:spacing w:line="450" w:lineRule="exact"/>
        <w:ind w:firstLine="420" w:firstLineChars="200"/>
        <w:rPr>
          <w:rFonts w:ascii="宋体" w:hAnsi="宋体"/>
          <w:szCs w:val="21"/>
        </w:rPr>
      </w:pPr>
      <w:r>
        <w:rPr>
          <w:rFonts w:hint="eastAsia" w:ascii="宋体" w:hAnsi="宋体"/>
          <w:szCs w:val="21"/>
        </w:rPr>
        <w:t>GB</w:t>
      </w:r>
      <w:r>
        <w:rPr>
          <w:rFonts w:hint="eastAsia" w:ascii="宋体" w:hAnsi="宋体"/>
          <w:szCs w:val="21"/>
          <w:lang w:val="en-US" w:eastAsia="zh-CN"/>
        </w:rPr>
        <w:t xml:space="preserve"> </w:t>
      </w:r>
      <w:r>
        <w:rPr>
          <w:rFonts w:hint="eastAsia" w:ascii="宋体" w:hAnsi="宋体"/>
          <w:szCs w:val="21"/>
        </w:rPr>
        <w:t>5009.236</w:t>
      </w:r>
      <w:r>
        <w:rPr>
          <w:rFonts w:ascii="宋体" w:hAnsi="宋体"/>
          <w:szCs w:val="21"/>
        </w:rPr>
        <w:t>动植物油脂水分及挥发物的测定</w:t>
      </w:r>
    </w:p>
    <w:p>
      <w:pPr>
        <w:spacing w:line="450" w:lineRule="exact"/>
        <w:ind w:firstLine="420" w:firstLineChars="200"/>
        <w:rPr>
          <w:rFonts w:ascii="宋体" w:hAnsi="宋体"/>
          <w:szCs w:val="21"/>
        </w:rPr>
      </w:pPr>
      <w:r>
        <w:rPr>
          <w:rFonts w:hint="eastAsia" w:ascii="宋体" w:hAnsi="宋体"/>
          <w:szCs w:val="21"/>
        </w:rPr>
        <w:t>GB/T 5096石油产品铜片腐蚀试验法</w:t>
      </w:r>
    </w:p>
    <w:p>
      <w:pPr>
        <w:spacing w:line="450" w:lineRule="exact"/>
        <w:ind w:firstLine="420" w:firstLineChars="200"/>
        <w:rPr>
          <w:rFonts w:hint="eastAsia" w:ascii="宋体" w:hAnsi="宋体"/>
          <w:szCs w:val="21"/>
        </w:rPr>
      </w:pPr>
      <w:r>
        <w:rPr>
          <w:rFonts w:hint="eastAsia" w:ascii="宋体" w:hAnsi="宋体"/>
          <w:szCs w:val="21"/>
        </w:rPr>
        <w:t>GB</w:t>
      </w:r>
      <w:r>
        <w:rPr>
          <w:rFonts w:hint="eastAsia" w:ascii="宋体" w:hAnsi="宋体"/>
          <w:szCs w:val="21"/>
          <w:lang w:val="en-US" w:eastAsia="zh-CN"/>
        </w:rPr>
        <w:t>/</w:t>
      </w:r>
      <w:r>
        <w:rPr>
          <w:rFonts w:hint="eastAsia" w:ascii="宋体" w:hAnsi="宋体"/>
          <w:szCs w:val="21"/>
        </w:rPr>
        <w:t>T</w:t>
      </w:r>
      <w:r>
        <w:rPr>
          <w:rFonts w:hint="eastAsia" w:ascii="宋体" w:hAnsi="宋体"/>
          <w:szCs w:val="21"/>
          <w:lang w:val="en-US" w:eastAsia="zh-CN"/>
        </w:rPr>
        <w:t xml:space="preserve"> </w:t>
      </w:r>
      <w:r>
        <w:rPr>
          <w:rFonts w:hint="eastAsia" w:ascii="宋体" w:hAnsi="宋体"/>
          <w:szCs w:val="21"/>
        </w:rPr>
        <w:t>5532动植物油脂</w:t>
      </w:r>
      <w:r>
        <w:rPr>
          <w:rFonts w:hint="eastAsia" w:ascii="宋体" w:hAnsi="宋体"/>
          <w:szCs w:val="21"/>
          <w:lang w:val="en-US" w:eastAsia="zh-CN"/>
        </w:rPr>
        <w:t xml:space="preserve">  </w:t>
      </w:r>
      <w:r>
        <w:rPr>
          <w:rFonts w:hint="eastAsia" w:ascii="宋体" w:hAnsi="宋体"/>
          <w:szCs w:val="21"/>
        </w:rPr>
        <w:t>碘值</w:t>
      </w:r>
      <w:r>
        <w:rPr>
          <w:rFonts w:hint="eastAsia" w:ascii="宋体" w:hAnsi="宋体"/>
          <w:szCs w:val="21"/>
          <w:lang w:val="en-US" w:eastAsia="zh-CN"/>
        </w:rPr>
        <w:t>的</w:t>
      </w:r>
      <w:r>
        <w:rPr>
          <w:rFonts w:hint="eastAsia" w:ascii="宋体" w:hAnsi="宋体"/>
          <w:szCs w:val="21"/>
        </w:rPr>
        <w:t>测定</w:t>
      </w:r>
    </w:p>
    <w:p>
      <w:pPr>
        <w:spacing w:line="450" w:lineRule="exact"/>
        <w:ind w:firstLine="420" w:firstLineChars="200"/>
        <w:rPr>
          <w:rFonts w:ascii="宋体" w:hAnsi="宋体"/>
          <w:szCs w:val="21"/>
        </w:rPr>
      </w:pPr>
      <w:r>
        <w:rPr>
          <w:rFonts w:hint="eastAsia" w:ascii="宋体" w:hAnsi="宋体"/>
          <w:szCs w:val="21"/>
        </w:rPr>
        <w:t>GB/T 6678 化工产品采样通则</w:t>
      </w:r>
    </w:p>
    <w:p>
      <w:pPr>
        <w:spacing w:line="450" w:lineRule="exact"/>
        <w:ind w:firstLine="420" w:firstLineChars="200"/>
        <w:rPr>
          <w:rFonts w:ascii="宋体" w:hAnsi="宋体"/>
          <w:szCs w:val="21"/>
        </w:rPr>
      </w:pPr>
      <w:r>
        <w:rPr>
          <w:rFonts w:ascii="宋体" w:hAnsi="宋体"/>
          <w:szCs w:val="21"/>
        </w:rPr>
        <w:t>GB/T</w:t>
      </w:r>
      <w:r>
        <w:rPr>
          <w:rFonts w:hint="eastAsia" w:ascii="宋体" w:hAnsi="宋体"/>
          <w:szCs w:val="21"/>
        </w:rPr>
        <w:t xml:space="preserve"> </w:t>
      </w:r>
      <w:r>
        <w:rPr>
          <w:rFonts w:ascii="宋体" w:hAnsi="宋体"/>
          <w:szCs w:val="21"/>
        </w:rPr>
        <w:t>6680</w:t>
      </w:r>
      <w:r>
        <w:rPr>
          <w:rFonts w:hint="eastAsia" w:ascii="宋体" w:hAnsi="宋体"/>
          <w:szCs w:val="21"/>
        </w:rPr>
        <w:t xml:space="preserve"> </w:t>
      </w:r>
      <w:r>
        <w:rPr>
          <w:rFonts w:ascii="宋体" w:hAnsi="宋体"/>
          <w:szCs w:val="21"/>
        </w:rPr>
        <w:t>液体化工产品采样通则</w:t>
      </w:r>
    </w:p>
    <w:p>
      <w:pPr>
        <w:spacing w:line="450" w:lineRule="exact"/>
        <w:ind w:firstLine="420" w:firstLineChars="200"/>
        <w:rPr>
          <w:rFonts w:ascii="宋体" w:hAnsi="宋体"/>
          <w:szCs w:val="21"/>
        </w:rPr>
      </w:pPr>
      <w:r>
        <w:rPr>
          <w:rFonts w:hint="eastAsia" w:ascii="宋体" w:hAnsi="宋体"/>
          <w:szCs w:val="21"/>
        </w:rPr>
        <w:t>GB/T 8170 数值修约规则</w:t>
      </w:r>
    </w:p>
    <w:p>
      <w:pPr>
        <w:spacing w:line="450" w:lineRule="exact"/>
        <w:ind w:firstLine="420" w:firstLineChars="200"/>
        <w:rPr>
          <w:rFonts w:hint="eastAsia" w:asciiTheme="minorEastAsia" w:hAnsiTheme="minorEastAsia" w:cstheme="minorEastAsia"/>
          <w:szCs w:val="21"/>
        </w:rPr>
      </w:pPr>
      <w:r>
        <w:rPr>
          <w:rFonts w:ascii="宋体" w:hAnsi="宋体"/>
          <w:szCs w:val="21"/>
        </w:rPr>
        <w:t>AOCS</w:t>
      </w:r>
      <w:r>
        <w:rPr>
          <w:rFonts w:hint="eastAsia" w:ascii="宋体" w:hAnsi="宋体"/>
          <w:szCs w:val="21"/>
        </w:rPr>
        <w:t xml:space="preserve"> Official Method  </w:t>
      </w:r>
      <w:r>
        <w:rPr>
          <w:rFonts w:ascii="宋体" w:hAnsi="宋体"/>
          <w:szCs w:val="21"/>
        </w:rPr>
        <w:t>Cd</w:t>
      </w:r>
      <w:r>
        <w:rPr>
          <w:rFonts w:hint="eastAsia" w:ascii="宋体" w:hAnsi="宋体"/>
          <w:szCs w:val="21"/>
        </w:rPr>
        <w:t xml:space="preserve"> </w:t>
      </w:r>
      <w:r>
        <w:rPr>
          <w:rFonts w:ascii="宋体" w:hAnsi="宋体"/>
          <w:szCs w:val="21"/>
        </w:rPr>
        <w:t>3d-63</w:t>
      </w:r>
      <w:r>
        <w:rPr>
          <w:rFonts w:hint="eastAsia" w:ascii="宋体" w:hAnsi="宋体"/>
          <w:szCs w:val="21"/>
        </w:rPr>
        <w:t xml:space="preserve">  Acid Value</w:t>
      </w:r>
    </w:p>
    <w:p>
      <w:pPr>
        <w:spacing w:line="450" w:lineRule="exact"/>
        <w:ind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NB/T</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lang w:val="en-US" w:eastAsia="zh-CN"/>
        </w:rPr>
        <w:t>13007-2016生物柴油原料 废弃油脂</w:t>
      </w:r>
    </w:p>
    <w:p>
      <w:pPr>
        <w:spacing w:line="450" w:lineRule="exact"/>
        <w:ind w:firstLine="420" w:firstLineChars="200"/>
        <w:rPr>
          <w:rFonts w:hint="eastAsia" w:ascii="宋体" w:hAnsi="宋体"/>
          <w:szCs w:val="21"/>
        </w:rPr>
      </w:pPr>
      <w:r>
        <w:rPr>
          <w:rFonts w:ascii="宋体" w:hAnsi="宋体"/>
          <w:szCs w:val="21"/>
        </w:rPr>
        <w:t>SH/T</w:t>
      </w:r>
      <w:r>
        <w:rPr>
          <w:rFonts w:hint="eastAsia" w:ascii="宋体" w:hAnsi="宋体"/>
          <w:szCs w:val="21"/>
        </w:rPr>
        <w:t xml:space="preserve"> </w:t>
      </w:r>
      <w:r>
        <w:rPr>
          <w:rFonts w:ascii="宋体" w:hAnsi="宋体"/>
          <w:szCs w:val="21"/>
        </w:rPr>
        <w:t>0653-1998 石油蜡正构烷烃和非正构烷烃碳数分布测定法（</w:t>
      </w:r>
      <w:r>
        <w:rPr>
          <w:rFonts w:hint="eastAsia" w:ascii="宋体" w:hAnsi="宋体"/>
          <w:szCs w:val="21"/>
        </w:rPr>
        <w:t>气相色谱法）</w:t>
      </w:r>
    </w:p>
    <w:p>
      <w:pPr>
        <w:spacing w:line="450" w:lineRule="exact"/>
        <w:ind w:firstLine="420" w:firstLineChars="200"/>
        <w:rPr>
          <w:rFonts w:hint="default" w:ascii="宋体" w:hAnsi="宋体" w:eastAsiaTheme="minorEastAsia"/>
          <w:szCs w:val="21"/>
          <w:lang w:val="en-US" w:eastAsia="zh-CN"/>
        </w:rPr>
      </w:pPr>
      <w:r>
        <w:rPr>
          <w:rFonts w:hint="eastAsia" w:ascii="宋体" w:hAnsi="宋体"/>
          <w:szCs w:val="21"/>
          <w:lang w:val="en-US" w:eastAsia="zh-CN"/>
        </w:rPr>
        <w:t>SH/T 0796 B-100生物柴油脂肪酸甲酯中游离甘油和总甘油含量测定法</w:t>
      </w:r>
      <w:r>
        <w:rPr>
          <w:rFonts w:ascii="宋体" w:hAnsi="宋体"/>
          <w:szCs w:val="21"/>
        </w:rPr>
        <w:t>（</w:t>
      </w:r>
      <w:r>
        <w:rPr>
          <w:rFonts w:hint="eastAsia" w:ascii="宋体" w:hAnsi="宋体"/>
          <w:szCs w:val="21"/>
        </w:rPr>
        <w:t>气相色谱法）</w:t>
      </w:r>
    </w:p>
    <w:p>
      <w:pPr>
        <w:spacing w:line="450" w:lineRule="exact"/>
        <w:jc w:val="left"/>
        <w:rPr>
          <w:rFonts w:hint="eastAsia" w:ascii="黑体" w:hAnsi="黑体" w:eastAsia="黑体"/>
          <w:bCs/>
          <w:szCs w:val="21"/>
          <w:lang w:val="en-US" w:eastAsia="zh-CN"/>
        </w:rPr>
      </w:pPr>
      <w:r>
        <w:rPr>
          <w:rFonts w:hint="eastAsia" w:ascii="黑体" w:hAnsi="黑体" w:eastAsia="黑体"/>
          <w:bCs/>
          <w:szCs w:val="21"/>
          <w:lang w:val="en-US" w:eastAsia="zh-CN"/>
        </w:rPr>
        <w:t>3术语和定义</w:t>
      </w:r>
    </w:p>
    <w:p>
      <w:pPr>
        <w:spacing w:line="450" w:lineRule="exact"/>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下列术语和定义适用于本文件。</w:t>
      </w:r>
    </w:p>
    <w:p>
      <w:pPr>
        <w:spacing w:line="450" w:lineRule="exact"/>
        <w:rPr>
          <w:rFonts w:hint="eastAsia" w:ascii="宋体" w:hAnsi="宋体"/>
          <w:szCs w:val="21"/>
          <w:lang w:val="en-US" w:eastAsia="zh-CN"/>
        </w:rPr>
      </w:pPr>
      <w:r>
        <w:rPr>
          <w:rFonts w:hint="eastAsia" w:ascii="宋体" w:hAnsi="宋体"/>
          <w:szCs w:val="21"/>
          <w:lang w:val="en-US" w:eastAsia="zh-CN"/>
        </w:rPr>
        <w:t>3.1生物浮选剂</w:t>
      </w:r>
      <w:r>
        <w:rPr>
          <w:rFonts w:hint="eastAsia" w:ascii="宋体" w:hAnsi="宋体"/>
          <w:szCs w:val="21"/>
          <w:highlight w:val="none"/>
          <w:lang w:eastAsia="zh-CN"/>
        </w:rPr>
        <w:t>：</w:t>
      </w:r>
      <w:r>
        <w:rPr>
          <w:rFonts w:hint="eastAsia" w:ascii="宋体" w:hAnsi="宋体"/>
          <w:szCs w:val="21"/>
          <w:lang w:val="en-US" w:eastAsia="zh-CN"/>
        </w:rPr>
        <w:t>bio-floatation agent</w:t>
      </w:r>
      <w:bookmarkStart w:id="27" w:name="_GoBack"/>
      <w:bookmarkEnd w:id="27"/>
    </w:p>
    <w:p>
      <w:pPr>
        <w:spacing w:line="450" w:lineRule="exact"/>
        <w:ind w:firstLine="420" w:firstLineChars="200"/>
        <w:rPr>
          <w:rFonts w:hint="default" w:ascii="宋体" w:hAnsi="宋体" w:eastAsiaTheme="minorEastAsia"/>
          <w:szCs w:val="21"/>
          <w:lang w:val="en-US" w:eastAsia="zh-CN"/>
        </w:rPr>
      </w:pPr>
      <w:r>
        <w:rPr>
          <w:rFonts w:hint="eastAsia" w:ascii="宋体" w:hAnsi="宋体"/>
          <w:szCs w:val="21"/>
          <w:lang w:val="en-US" w:eastAsia="zh-CN"/>
        </w:rPr>
        <w:t>浮选剂</w:t>
      </w:r>
      <w:r>
        <w:rPr>
          <w:rFonts w:hint="eastAsia" w:ascii="宋体" w:hAnsi="宋体"/>
          <w:szCs w:val="21"/>
          <w:highlight w:val="none"/>
          <w:lang w:val="en-US" w:eastAsia="zh-CN"/>
        </w:rPr>
        <w:t>是在进行浮选作业时投加的一种具有改变矿物颗粒物表面性质的功能，使得空气微泡易与被浮选物亲和，实现被浮选物与水的分离药剂。</w:t>
      </w:r>
      <w:r>
        <w:rPr>
          <w:rFonts w:hint="eastAsia" w:ascii="宋体" w:hAnsi="宋体"/>
          <w:szCs w:val="21"/>
          <w:lang w:val="en-US" w:eastAsia="zh-CN"/>
        </w:rPr>
        <w:t>生物浮选剂</w:t>
      </w:r>
      <w:r>
        <w:rPr>
          <w:rFonts w:hint="eastAsia" w:ascii="宋体" w:hAnsi="宋体"/>
          <w:szCs w:val="21"/>
          <w:highlight w:val="none"/>
          <w:lang w:val="en-US" w:eastAsia="zh-CN"/>
        </w:rPr>
        <w:t>无刺激气味，</w:t>
      </w:r>
      <w:r>
        <w:rPr>
          <w:rFonts w:hint="eastAsia" w:ascii="宋体" w:hAnsi="宋体"/>
          <w:szCs w:val="21"/>
          <w:highlight w:val="none"/>
        </w:rPr>
        <w:t>主要成分为C</w:t>
      </w:r>
      <w:r>
        <w:rPr>
          <w:rFonts w:hint="eastAsia" w:ascii="宋体" w:hAnsi="宋体"/>
          <w:szCs w:val="21"/>
          <w:highlight w:val="none"/>
          <w:vertAlign w:val="subscript"/>
        </w:rPr>
        <w:t>4</w:t>
      </w:r>
      <w:r>
        <w:rPr>
          <w:rFonts w:hint="eastAsia" w:ascii="宋体" w:hAnsi="宋体"/>
          <w:szCs w:val="21"/>
          <w:highlight w:val="none"/>
        </w:rPr>
        <w:t>～C</w:t>
      </w:r>
      <w:r>
        <w:rPr>
          <w:rFonts w:hint="eastAsia" w:ascii="宋体" w:hAnsi="宋体"/>
          <w:szCs w:val="21"/>
          <w:highlight w:val="none"/>
          <w:vertAlign w:val="subscript"/>
        </w:rPr>
        <w:t>25</w:t>
      </w:r>
      <w:r>
        <w:rPr>
          <w:rFonts w:hint="eastAsia" w:ascii="宋体" w:hAnsi="宋体"/>
          <w:szCs w:val="21"/>
          <w:highlight w:val="none"/>
        </w:rPr>
        <w:t>的高级醇类、酯类、烃类以及少量的醛类等多种属浮选有效成分的有机化合物。</w:t>
      </w:r>
    </w:p>
    <w:p>
      <w:pPr>
        <w:spacing w:line="450" w:lineRule="exact"/>
        <w:rPr>
          <w:rFonts w:hint="eastAsia" w:ascii="宋体" w:hAnsi="宋体"/>
          <w:szCs w:val="21"/>
          <w:highlight w:val="none"/>
          <w:lang w:val="en-US" w:eastAsia="zh-CN"/>
        </w:rPr>
      </w:pPr>
      <w:r>
        <w:rPr>
          <w:rFonts w:hint="eastAsia" w:ascii="宋体" w:hAnsi="宋体"/>
          <w:szCs w:val="21"/>
          <w:highlight w:val="none"/>
          <w:lang w:val="en-US" w:eastAsia="zh-CN"/>
        </w:rPr>
        <w:t xml:space="preserve">3.2固相酸催化剂：Solid phase acid catalyst </w:t>
      </w:r>
    </w:p>
    <w:p>
      <w:pPr>
        <w:spacing w:line="450" w:lineRule="exact"/>
        <w:ind w:firstLine="420" w:firstLineChars="200"/>
        <w:rPr>
          <w:rFonts w:hint="default" w:ascii="宋体" w:hAnsi="宋体"/>
          <w:szCs w:val="21"/>
          <w:highlight w:val="none"/>
          <w:lang w:val="en-US" w:eastAsia="zh-CN"/>
        </w:rPr>
      </w:pPr>
      <w:r>
        <w:rPr>
          <w:rFonts w:hint="eastAsia" w:ascii="宋体" w:hAnsi="宋体"/>
          <w:szCs w:val="21"/>
          <w:highlight w:val="none"/>
          <w:lang w:val="en-US" w:eastAsia="zh-CN"/>
        </w:rPr>
        <w:t>催化剂与反应物分子之间通过给出的质子或接受的电子对作用，形成活泼的正碳离子中间化合物（活化的主要方式），继而分解为产物的催化过程。主要成分包括氧化锆、氧化硅、氧化铝和氧化镁等一种或几种组分组成的固体成型材料。具有抗腐蚀性、使用安全并可重复使用性，是无机酸催化剂的安全替代品。</w:t>
      </w:r>
    </w:p>
    <w:p>
      <w:pPr>
        <w:spacing w:line="450" w:lineRule="exact"/>
        <w:rPr>
          <w:rFonts w:hint="eastAsia" w:ascii="黑体" w:hAnsi="黑体" w:eastAsia="黑体"/>
          <w:bCs/>
          <w:szCs w:val="21"/>
          <w:lang w:val="en-US" w:eastAsia="zh-CN"/>
        </w:rPr>
      </w:pPr>
      <w:r>
        <w:rPr>
          <w:rFonts w:hint="eastAsia" w:ascii="黑体" w:hAnsi="黑体" w:eastAsia="黑体"/>
          <w:bCs/>
          <w:szCs w:val="21"/>
          <w:lang w:val="en-US" w:eastAsia="zh-CN"/>
        </w:rPr>
        <w:t>4原材料要求</w:t>
      </w:r>
    </w:p>
    <w:p>
      <w:pPr>
        <w:spacing w:line="450" w:lineRule="exact"/>
        <w:outlineLvl w:val="0"/>
        <w:rPr>
          <w:rFonts w:hint="eastAsia" w:asciiTheme="minorEastAsia" w:hAnsiTheme="minorEastAsia" w:eastAsiaTheme="minorEastAsia" w:cstheme="minorEastAsia"/>
          <w:szCs w:val="21"/>
        </w:rPr>
      </w:pPr>
      <w:bookmarkStart w:id="5" w:name="_Toc7880"/>
      <w:bookmarkStart w:id="6" w:name="_Toc447"/>
      <w:r>
        <w:rPr>
          <w:rFonts w:hint="eastAsia" w:asciiTheme="minorEastAsia" w:hAnsiTheme="minorEastAsia" w:cstheme="minorEastAsia"/>
          <w:szCs w:val="21"/>
          <w:lang w:val="en-US" w:eastAsia="zh-CN"/>
        </w:rPr>
        <w:t>4.1</w:t>
      </w:r>
      <w:bookmarkEnd w:id="5"/>
      <w:bookmarkEnd w:id="6"/>
      <w:r>
        <w:rPr>
          <w:rFonts w:hint="eastAsia" w:asciiTheme="minorEastAsia" w:hAnsiTheme="minorEastAsia" w:eastAsiaTheme="minorEastAsia" w:cstheme="minorEastAsia"/>
          <w:szCs w:val="21"/>
          <w:lang w:val="en-US" w:eastAsia="zh-CN"/>
        </w:rPr>
        <w:t>废油脂</w:t>
      </w:r>
      <w:r>
        <w:rPr>
          <w:rFonts w:hint="eastAsia" w:asciiTheme="minorEastAsia" w:hAnsiTheme="minorEastAsia" w:cstheme="minorEastAsia"/>
          <w:szCs w:val="21"/>
          <w:lang w:val="en-US" w:eastAsia="zh-CN"/>
        </w:rPr>
        <w:t>：应符合NB/T13007的相应要求</w:t>
      </w:r>
      <w:bookmarkStart w:id="7" w:name="_Toc116725624"/>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质量</w:t>
      </w:r>
      <w:bookmarkEnd w:id="7"/>
      <w:r>
        <w:rPr>
          <w:rFonts w:hint="eastAsia" w:asciiTheme="minorEastAsia" w:hAnsiTheme="minorEastAsia" w:eastAsiaTheme="minorEastAsia" w:cstheme="minorEastAsia"/>
          <w:szCs w:val="21"/>
        </w:rPr>
        <w:t>控制</w:t>
      </w:r>
      <w:r>
        <w:rPr>
          <w:rFonts w:hint="eastAsia" w:asciiTheme="minorEastAsia" w:hAnsiTheme="minorEastAsia" w:cstheme="minorEastAsia"/>
          <w:szCs w:val="21"/>
          <w:lang w:val="en-US" w:eastAsia="zh-CN"/>
        </w:rPr>
        <w:t>指标及方法见</w:t>
      </w:r>
      <w:r>
        <w:rPr>
          <w:rFonts w:hint="eastAsia" w:asciiTheme="minorEastAsia" w:hAnsiTheme="minorEastAsia" w:eastAsiaTheme="minorEastAsia" w:cstheme="minorEastAsia"/>
          <w:szCs w:val="21"/>
        </w:rPr>
        <w:t>表</w:t>
      </w:r>
      <w:r>
        <w:rPr>
          <w:rFonts w:hint="eastAsia" w:asciiTheme="minorEastAsia" w:hAnsiTheme="minorEastAsia" w:cstheme="minorEastAsia"/>
          <w:szCs w:val="21"/>
          <w:lang w:val="en-US" w:eastAsia="zh-CN"/>
        </w:rPr>
        <w:t>1</w:t>
      </w:r>
      <w:r>
        <w:rPr>
          <w:rFonts w:hint="eastAsia" w:asciiTheme="minorEastAsia" w:hAnsiTheme="minorEastAsia" w:eastAsiaTheme="minorEastAsia" w:cstheme="minorEastAsia"/>
          <w:szCs w:val="21"/>
        </w:rPr>
        <w:t>。</w:t>
      </w:r>
    </w:p>
    <w:p>
      <w:pPr>
        <w:spacing w:line="450" w:lineRule="exact"/>
        <w:jc w:val="center"/>
        <w:rPr>
          <w:rFonts w:hint="default" w:ascii="宋体" w:hAnsi="宋体"/>
          <w:szCs w:val="21"/>
          <w:lang w:val="en-US"/>
        </w:rPr>
      </w:pPr>
      <w:r>
        <w:rPr>
          <w:rFonts w:hint="eastAsia" w:ascii="黑体" w:hAnsi="黑体" w:eastAsia="黑体" w:cs="黑体"/>
          <w:szCs w:val="21"/>
          <w:lang w:val="en-US" w:eastAsia="zh-CN"/>
        </w:rPr>
        <w:t>表1 废油脂质量控制指标及方法</w:t>
      </w:r>
    </w:p>
    <w:tbl>
      <w:tblPr>
        <w:tblStyle w:val="11"/>
        <w:tblpPr w:leftFromText="180" w:rightFromText="180" w:vertAnchor="text" w:horzAnchor="margin" w:tblpX="114" w:tblpY="183"/>
        <w:tblOverlap w:val="never"/>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1"/>
        <w:gridCol w:w="3562"/>
        <w:gridCol w:w="4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81"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br w:type="page"/>
            </w:r>
            <w:r>
              <w:rPr>
                <w:rFonts w:hint="eastAsia" w:asciiTheme="minorEastAsia" w:hAnsiTheme="minorEastAsia" w:eastAsiaTheme="minorEastAsia" w:cstheme="minorEastAsia"/>
                <w:sz w:val="18"/>
                <w:szCs w:val="18"/>
              </w:rPr>
              <w:t>项目</w:t>
            </w:r>
          </w:p>
        </w:tc>
        <w:tc>
          <w:tcPr>
            <w:tcW w:w="3562"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指标</w:t>
            </w:r>
          </w:p>
        </w:tc>
        <w:tc>
          <w:tcPr>
            <w:tcW w:w="4348"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81"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酸值</w:t>
            </w:r>
          </w:p>
        </w:tc>
        <w:tc>
          <w:tcPr>
            <w:tcW w:w="3562"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120（以KOH计）</w:t>
            </w:r>
            <w:r>
              <w:rPr>
                <w:rFonts w:hint="eastAsia" w:asciiTheme="minorEastAsia" w:hAnsiTheme="minorEastAsia" w:eastAsiaTheme="minorEastAsia" w:cstheme="minorEastAsia"/>
                <w:sz w:val="18"/>
                <w:szCs w:val="18"/>
              </w:rPr>
              <w:t>mg/</w:t>
            </w:r>
            <w:r>
              <w:rPr>
                <w:rFonts w:hint="eastAsia" w:asciiTheme="minorEastAsia" w:hAnsiTheme="minorEastAsia" w:eastAsiaTheme="minorEastAsia" w:cstheme="minorEastAsia"/>
                <w:sz w:val="18"/>
                <w:szCs w:val="18"/>
                <w:lang w:val="en-US" w:eastAsia="zh-CN"/>
              </w:rPr>
              <w:t>k</w:t>
            </w:r>
            <w:r>
              <w:rPr>
                <w:rFonts w:hint="eastAsia" w:asciiTheme="minorEastAsia" w:hAnsiTheme="minorEastAsia" w:eastAsiaTheme="minorEastAsia" w:cstheme="minorEastAsia"/>
                <w:sz w:val="18"/>
                <w:szCs w:val="18"/>
              </w:rPr>
              <w:t>g</w:t>
            </w:r>
            <w:r>
              <w:rPr>
                <w:rFonts w:hint="eastAsia" w:asciiTheme="minorEastAsia" w:hAnsiTheme="minorEastAsia" w:eastAsiaTheme="minorEastAsia" w:cstheme="minorEastAsia"/>
                <w:sz w:val="18"/>
                <w:szCs w:val="18"/>
                <w:lang w:val="en-US" w:eastAsia="zh-CN"/>
              </w:rPr>
              <w:t xml:space="preserve">       </w:t>
            </w:r>
          </w:p>
        </w:tc>
        <w:tc>
          <w:tcPr>
            <w:tcW w:w="4348" w:type="dxa"/>
            <w:vMerge w:val="restart"/>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NB/T13007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281" w:type="dxa"/>
            <w:vAlign w:val="center"/>
          </w:tcPr>
          <w:p>
            <w:pP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碘值</w:t>
            </w:r>
          </w:p>
        </w:tc>
        <w:tc>
          <w:tcPr>
            <w:tcW w:w="3562" w:type="dxa"/>
            <w:vAlign w:val="center"/>
          </w:tcPr>
          <w:p>
            <w:pP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≥20（以KOH计）</w:t>
            </w:r>
            <w:r>
              <w:rPr>
                <w:rFonts w:hint="eastAsia" w:asciiTheme="minorEastAsia" w:hAnsiTheme="minorEastAsia" w:eastAsiaTheme="minorEastAsia" w:cstheme="minorEastAsia"/>
                <w:sz w:val="18"/>
                <w:szCs w:val="18"/>
              </w:rPr>
              <w:t>g/</w:t>
            </w:r>
            <w:r>
              <w:rPr>
                <w:rFonts w:hint="eastAsia" w:asciiTheme="minorEastAsia" w:hAnsiTheme="minorEastAsia" w:eastAsiaTheme="minorEastAsia" w:cstheme="minorEastAsia"/>
                <w:sz w:val="18"/>
                <w:szCs w:val="18"/>
                <w:lang w:val="en-US" w:eastAsia="zh-CN"/>
              </w:rPr>
              <w:t>100</w:t>
            </w:r>
            <w:r>
              <w:rPr>
                <w:rFonts w:hint="eastAsia" w:asciiTheme="minorEastAsia" w:hAnsiTheme="minorEastAsia" w:eastAsiaTheme="minorEastAsia" w:cstheme="minorEastAsia"/>
                <w:sz w:val="18"/>
                <w:szCs w:val="18"/>
              </w:rPr>
              <w:t>g</w:t>
            </w:r>
          </w:p>
        </w:tc>
        <w:tc>
          <w:tcPr>
            <w:tcW w:w="4348" w:type="dxa"/>
            <w:vMerge w:val="continue"/>
            <w:vAlign w:val="center"/>
          </w:tcPr>
          <w:p>
            <w:pP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281" w:type="dxa"/>
            <w:vAlign w:val="center"/>
          </w:tcPr>
          <w:p>
            <w:pP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皂化值</w:t>
            </w:r>
          </w:p>
        </w:tc>
        <w:tc>
          <w:tcPr>
            <w:tcW w:w="3562" w:type="dxa"/>
            <w:vAlign w:val="center"/>
          </w:tcPr>
          <w:p>
            <w:pP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≥185（以KOH计）mg/kg</w:t>
            </w:r>
          </w:p>
        </w:tc>
        <w:tc>
          <w:tcPr>
            <w:tcW w:w="4348" w:type="dxa"/>
            <w:vMerge w:val="continue"/>
            <w:vAlign w:val="center"/>
          </w:tcPr>
          <w:p>
            <w:pPr>
              <w:rPr>
                <w:rFonts w:hint="eastAsia"/>
              </w:rPr>
            </w:pPr>
          </w:p>
        </w:tc>
      </w:tr>
    </w:tbl>
    <w:p>
      <w:pPr>
        <w:spacing w:line="450" w:lineRule="exact"/>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4.2</w:t>
      </w:r>
      <w:r>
        <w:rPr>
          <w:rFonts w:hint="eastAsia" w:asciiTheme="minorEastAsia" w:hAnsiTheme="minorEastAsia" w:eastAsiaTheme="minorEastAsia" w:cstheme="minorEastAsia"/>
          <w:szCs w:val="21"/>
          <w:lang w:val="en-US" w:eastAsia="zh-CN"/>
        </w:rPr>
        <w:t>工业醇</w:t>
      </w:r>
      <w:r>
        <w:rPr>
          <w:rFonts w:hint="eastAsia" w:asciiTheme="minorEastAsia" w:hAnsiTheme="minorEastAsia" w:cstheme="minorEastAsia"/>
          <w:szCs w:val="21"/>
          <w:lang w:val="en-US" w:eastAsia="zh-CN"/>
        </w:rPr>
        <w:t>类</w:t>
      </w:r>
      <w:r>
        <w:rPr>
          <w:rFonts w:hint="eastAsia" w:asciiTheme="minorEastAsia" w:hAnsiTheme="minorEastAsia" w:eastAsiaTheme="minorEastAsia" w:cstheme="minorEastAsia"/>
          <w:szCs w:val="21"/>
          <w:lang w:val="en-US" w:eastAsia="zh-CN"/>
        </w:rPr>
        <w:t>：</w:t>
      </w:r>
      <w:r>
        <w:rPr>
          <w:rFonts w:hint="eastAsia" w:asciiTheme="minorEastAsia" w:hAnsiTheme="minorEastAsia" w:cstheme="minorEastAsia"/>
          <w:szCs w:val="21"/>
          <w:lang w:val="en-US" w:eastAsia="zh-CN"/>
        </w:rPr>
        <w:t>应符合</w:t>
      </w:r>
      <w:r>
        <w:rPr>
          <w:rFonts w:hint="eastAsia" w:asciiTheme="minorEastAsia" w:hAnsiTheme="minorEastAsia" w:eastAsiaTheme="minorEastAsia" w:cstheme="minorEastAsia"/>
          <w:szCs w:val="21"/>
          <w:lang w:val="en-US" w:eastAsia="zh-CN"/>
        </w:rPr>
        <w:t>GB</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lang w:val="en-US" w:eastAsia="zh-CN"/>
        </w:rPr>
        <w:t>3</w:t>
      </w:r>
      <w:r>
        <w:rPr>
          <w:rFonts w:hint="eastAsia" w:asciiTheme="minorEastAsia" w:hAnsiTheme="minorEastAsia" w:cstheme="minorEastAsia"/>
          <w:szCs w:val="21"/>
          <w:lang w:val="en-US" w:eastAsia="zh-CN"/>
        </w:rPr>
        <w:t>38、</w:t>
      </w:r>
      <w:r>
        <w:rPr>
          <w:rFonts w:hint="eastAsia" w:asciiTheme="minorEastAsia" w:hAnsiTheme="minorEastAsia" w:eastAsiaTheme="minorEastAsia" w:cstheme="minorEastAsia"/>
          <w:szCs w:val="21"/>
          <w:lang w:val="en-US" w:eastAsia="zh-CN"/>
        </w:rPr>
        <w:t>GB/T</w:t>
      </w:r>
      <w:r>
        <w:rPr>
          <w:rFonts w:hint="eastAsia" w:asciiTheme="minorEastAsia" w:hAnsiTheme="minorEastAsia" w:cstheme="minorEastAsia"/>
          <w:szCs w:val="21"/>
          <w:lang w:val="en-US" w:eastAsia="zh-CN"/>
        </w:rPr>
        <w:t>6820等</w:t>
      </w:r>
      <w:r>
        <w:rPr>
          <w:rFonts w:hint="eastAsia" w:asciiTheme="minorEastAsia" w:hAnsiTheme="minorEastAsia" w:eastAsiaTheme="minorEastAsia" w:cstheme="minorEastAsia"/>
          <w:szCs w:val="21"/>
          <w:lang w:val="en-US" w:eastAsia="zh-CN"/>
        </w:rPr>
        <w:t>的相应要求</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质量控制</w:t>
      </w:r>
      <w:r>
        <w:rPr>
          <w:rFonts w:hint="eastAsia" w:asciiTheme="minorEastAsia" w:hAnsiTheme="minorEastAsia" w:cstheme="minorEastAsia"/>
          <w:szCs w:val="21"/>
          <w:lang w:val="en-US" w:eastAsia="zh-CN"/>
        </w:rPr>
        <w:t>指标及方法见</w:t>
      </w:r>
      <w:r>
        <w:rPr>
          <w:rFonts w:hint="eastAsia" w:asciiTheme="minorEastAsia" w:hAnsiTheme="minorEastAsia" w:eastAsiaTheme="minorEastAsia" w:cstheme="minorEastAsia"/>
          <w:szCs w:val="21"/>
        </w:rPr>
        <w:t>表</w:t>
      </w:r>
      <w:r>
        <w:rPr>
          <w:rFonts w:hint="eastAsia" w:asciiTheme="minorEastAsia" w:hAnsiTheme="minorEastAsia" w:cstheme="minorEastAsia"/>
          <w:szCs w:val="21"/>
          <w:lang w:val="en-US" w:eastAsia="zh-CN"/>
        </w:rPr>
        <w:t>2</w:t>
      </w:r>
      <w:r>
        <w:rPr>
          <w:rFonts w:hint="eastAsia" w:asciiTheme="minorEastAsia" w:hAnsiTheme="minorEastAsia" w:eastAsiaTheme="minorEastAsia" w:cstheme="minorEastAsia"/>
          <w:szCs w:val="21"/>
        </w:rPr>
        <w:t>。</w:t>
      </w:r>
    </w:p>
    <w:p>
      <w:pPr>
        <w:spacing w:line="450" w:lineRule="exact"/>
        <w:jc w:val="center"/>
        <w:rPr>
          <w:rFonts w:hint="eastAsia" w:ascii="黑体" w:hAnsi="黑体" w:eastAsia="黑体" w:cs="黑体"/>
          <w:szCs w:val="21"/>
          <w:lang w:val="en-US" w:eastAsia="zh-CN"/>
        </w:rPr>
      </w:pPr>
      <w:r>
        <w:rPr>
          <w:rFonts w:hint="eastAsia" w:ascii="黑体" w:hAnsi="黑体" w:eastAsia="黑体" w:cs="黑体"/>
          <w:szCs w:val="21"/>
          <w:lang w:val="en-US" w:eastAsia="zh-CN"/>
        </w:rPr>
        <w:t>表2 工业用醇类质量控制指标及方法</w:t>
      </w:r>
    </w:p>
    <w:tbl>
      <w:tblPr>
        <w:tblStyle w:val="11"/>
        <w:tblpPr w:leftFromText="180" w:rightFromText="180" w:vertAnchor="text" w:horzAnchor="page" w:tblpX="1489" w:tblpY="102"/>
        <w:tblOverlap w:val="never"/>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5"/>
        <w:gridCol w:w="1996"/>
        <w:gridCol w:w="1997"/>
        <w:gridCol w:w="3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75" w:type="dxa"/>
            <w:vMerge w:val="restart"/>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br w:type="page"/>
            </w:r>
            <w:r>
              <w:rPr>
                <w:rFonts w:hint="eastAsia" w:asciiTheme="minorEastAsia" w:hAnsiTheme="minorEastAsia" w:eastAsiaTheme="minorEastAsia" w:cstheme="minorEastAsia"/>
                <w:sz w:val="18"/>
                <w:szCs w:val="18"/>
              </w:rPr>
              <w:t>项目</w:t>
            </w:r>
          </w:p>
        </w:tc>
        <w:tc>
          <w:tcPr>
            <w:tcW w:w="3993" w:type="dxa"/>
            <w:gridSpan w:val="2"/>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指标</w:t>
            </w:r>
          </w:p>
        </w:tc>
        <w:tc>
          <w:tcPr>
            <w:tcW w:w="3723"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75" w:type="dxa"/>
            <w:vMerge w:val="continue"/>
            <w:vAlign w:val="center"/>
          </w:tcPr>
          <w:p>
            <w:pPr>
              <w:jc w:val="both"/>
              <w:rPr>
                <w:rFonts w:hint="eastAsia" w:asciiTheme="minorEastAsia" w:hAnsiTheme="minorEastAsia" w:eastAsiaTheme="minorEastAsia" w:cstheme="minorEastAsia"/>
                <w:sz w:val="18"/>
                <w:szCs w:val="18"/>
              </w:rPr>
            </w:pPr>
          </w:p>
        </w:tc>
        <w:tc>
          <w:tcPr>
            <w:tcW w:w="1996"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工业用甲醇</w:t>
            </w:r>
          </w:p>
        </w:tc>
        <w:tc>
          <w:tcPr>
            <w:tcW w:w="1997"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工业用乙醇</w:t>
            </w:r>
          </w:p>
        </w:tc>
        <w:tc>
          <w:tcPr>
            <w:tcW w:w="3723" w:type="dxa"/>
            <w:vMerge w:val="restart"/>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GB 338</w:t>
            </w:r>
          </w:p>
          <w:p>
            <w:pPr>
              <w:jc w:val="both"/>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eastAsia="zh-CN"/>
              </w:rPr>
              <w:t>GB/T6820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75"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色度</w:t>
            </w:r>
          </w:p>
        </w:tc>
        <w:tc>
          <w:tcPr>
            <w:tcW w:w="1996"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≤10（铂-钴色号）</w:t>
            </w:r>
          </w:p>
        </w:tc>
        <w:tc>
          <w:tcPr>
            <w:tcW w:w="1997"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≤10（铂-钴色号）</w:t>
            </w:r>
          </w:p>
        </w:tc>
        <w:tc>
          <w:tcPr>
            <w:tcW w:w="3723" w:type="dxa"/>
            <w:vMerge w:val="continue"/>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75"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水分</w:t>
            </w:r>
          </w:p>
        </w:tc>
        <w:tc>
          <w:tcPr>
            <w:tcW w:w="1996"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≤0.2%</w:t>
            </w:r>
          </w:p>
        </w:tc>
        <w:tc>
          <w:tcPr>
            <w:tcW w:w="1997"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w:t>
            </w:r>
          </w:p>
        </w:tc>
        <w:tc>
          <w:tcPr>
            <w:tcW w:w="3723" w:type="dxa"/>
            <w:vMerge w:val="continue"/>
            <w:vAlign w:val="center"/>
          </w:tcPr>
          <w:p>
            <w:pPr>
              <w:rPr>
                <w:rFonts w:hint="eastAsia"/>
              </w:rPr>
            </w:pPr>
          </w:p>
        </w:tc>
      </w:tr>
    </w:tbl>
    <w:p>
      <w:pPr>
        <w:spacing w:line="450" w:lineRule="exact"/>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4.3</w:t>
      </w:r>
      <w:r>
        <w:rPr>
          <w:rFonts w:hint="eastAsia" w:asciiTheme="minorEastAsia" w:hAnsiTheme="minorEastAsia" w:eastAsiaTheme="minorEastAsia" w:cstheme="minorEastAsia"/>
          <w:szCs w:val="21"/>
          <w:highlight w:val="none"/>
          <w:lang w:val="en-US" w:eastAsia="zh-CN"/>
        </w:rPr>
        <w:t>固相酸催化剂：</w:t>
      </w:r>
      <w:r>
        <w:rPr>
          <w:rFonts w:hint="eastAsia" w:asciiTheme="minorEastAsia" w:hAnsiTheme="minorEastAsia" w:cstheme="minorEastAsia"/>
          <w:szCs w:val="21"/>
          <w:lang w:val="en-US" w:eastAsia="zh-CN"/>
        </w:rPr>
        <w:t>应符合</w:t>
      </w:r>
      <w:r>
        <w:rPr>
          <w:rFonts w:hint="eastAsia" w:asciiTheme="minorEastAsia" w:hAnsiTheme="minorEastAsia" w:cstheme="minorEastAsia"/>
          <w:szCs w:val="21"/>
          <w:highlight w:val="none"/>
          <w:lang w:val="en-US" w:eastAsia="zh-CN"/>
        </w:rPr>
        <w:t>GB/T36203的相应要求。</w:t>
      </w:r>
    </w:p>
    <w:p>
      <w:pPr>
        <w:spacing w:line="450" w:lineRule="exact"/>
        <w:rPr>
          <w:rFonts w:hint="eastAsia" w:ascii="黑体" w:hAnsi="黑体" w:eastAsia="黑体"/>
          <w:bCs/>
          <w:szCs w:val="21"/>
          <w:lang w:val="en-US" w:eastAsia="zh-CN"/>
        </w:rPr>
      </w:pPr>
      <w:r>
        <w:rPr>
          <w:rFonts w:hint="eastAsia" w:ascii="黑体" w:hAnsi="黑体" w:eastAsia="黑体"/>
          <w:bCs/>
          <w:szCs w:val="21"/>
          <w:lang w:val="en-US" w:eastAsia="zh-CN"/>
        </w:rPr>
        <w:t>5半成品技术要求</w:t>
      </w:r>
    </w:p>
    <w:p>
      <w:pPr>
        <w:spacing w:line="450" w:lineRule="exact"/>
        <w:outlineLvl w:val="0"/>
        <w:rPr>
          <w:rFonts w:hint="eastAsia" w:asciiTheme="minorEastAsia" w:hAnsiTheme="minorEastAsia" w:eastAsiaTheme="minorEastAsia" w:cstheme="minorEastAsia"/>
          <w:szCs w:val="21"/>
          <w:highlight w:val="none"/>
          <w:lang w:val="en-US" w:eastAsia="zh-CN"/>
        </w:rPr>
      </w:pPr>
      <w:bookmarkStart w:id="8" w:name="_Toc25474"/>
      <w:bookmarkStart w:id="9" w:name="_Toc2119"/>
      <w:r>
        <w:rPr>
          <w:rFonts w:hint="eastAsia" w:asciiTheme="minorEastAsia" w:hAnsiTheme="minorEastAsia" w:cstheme="minorEastAsia"/>
          <w:szCs w:val="21"/>
          <w:lang w:val="en-US" w:eastAsia="zh-CN"/>
        </w:rPr>
        <w:t>5</w:t>
      </w:r>
      <w:r>
        <w:rPr>
          <w:rFonts w:hint="eastAsia" w:asciiTheme="minorEastAsia" w:hAnsiTheme="minorEastAsia" w:eastAsiaTheme="minorEastAsia" w:cstheme="minorEastAsia"/>
          <w:szCs w:val="21"/>
          <w:highlight w:val="none"/>
          <w:lang w:val="en-US" w:eastAsia="zh-CN"/>
        </w:rPr>
        <w:t>.1半成品</w:t>
      </w:r>
      <w:r>
        <w:rPr>
          <w:rFonts w:hint="eastAsia" w:asciiTheme="minorEastAsia" w:hAnsiTheme="minorEastAsia" w:cstheme="minorEastAsia"/>
          <w:szCs w:val="21"/>
          <w:highlight w:val="none"/>
          <w:lang w:val="en-US" w:eastAsia="zh-CN"/>
        </w:rPr>
        <w:t>生产工艺及</w:t>
      </w:r>
      <w:r>
        <w:rPr>
          <w:rFonts w:hint="eastAsia" w:asciiTheme="minorEastAsia" w:hAnsiTheme="minorEastAsia" w:eastAsiaTheme="minorEastAsia" w:cstheme="minorEastAsia"/>
          <w:szCs w:val="21"/>
          <w:highlight w:val="none"/>
          <w:lang w:val="en-US" w:eastAsia="zh-CN"/>
        </w:rPr>
        <w:t>关键控制点</w:t>
      </w:r>
      <w:bookmarkEnd w:id="8"/>
      <w:bookmarkEnd w:id="9"/>
    </w:p>
    <w:p>
      <w:pPr>
        <w:spacing w:line="450" w:lineRule="exact"/>
        <w:ind w:firstLine="420" w:firstLineChars="200"/>
        <w:rPr>
          <w:rFonts w:hint="eastAsia" w:asciiTheme="minorEastAsia" w:hAnsiTheme="minorEastAsia" w:cstheme="minorEastAsia"/>
          <w:szCs w:val="21"/>
          <w:lang w:val="en-US" w:eastAsia="zh-CN"/>
        </w:rPr>
      </w:pPr>
      <w:r>
        <w:rPr>
          <w:rFonts w:hint="eastAsia" w:asciiTheme="minorEastAsia" w:hAnsiTheme="minorEastAsia" w:eastAsiaTheme="minorEastAsia" w:cstheme="minorEastAsia"/>
          <w:szCs w:val="21"/>
          <w:highlight w:val="none"/>
          <w:lang w:val="en-US" w:eastAsia="zh-CN"/>
        </w:rPr>
        <w:t>废油脂转化生物浮选</w:t>
      </w:r>
      <w:r>
        <w:rPr>
          <w:rFonts w:hint="eastAsia" w:asciiTheme="minorEastAsia" w:hAnsiTheme="minorEastAsia" w:cstheme="minorEastAsia"/>
          <w:szCs w:val="21"/>
          <w:highlight w:val="none"/>
          <w:lang w:val="en-US" w:eastAsia="zh-CN"/>
        </w:rPr>
        <w:t>剂</w:t>
      </w:r>
      <w:r>
        <w:rPr>
          <w:rFonts w:hint="eastAsia" w:ascii="宋体" w:hAnsi="宋体"/>
          <w:szCs w:val="21"/>
          <w:highlight w:val="none"/>
          <w:lang w:val="en-US" w:eastAsia="zh-CN"/>
        </w:rPr>
        <w:t>酯化和酯交换反应</w:t>
      </w:r>
      <w:r>
        <w:rPr>
          <w:rFonts w:hint="eastAsia" w:asciiTheme="minorEastAsia" w:hAnsiTheme="minorEastAsia" w:cstheme="minorEastAsia"/>
          <w:spacing w:val="8"/>
          <w:sz w:val="21"/>
          <w:szCs w:val="21"/>
          <w:highlight w:val="none"/>
          <w:shd w:val="clear" w:color="auto" w:fill="FFFFFF"/>
          <w:lang w:val="en-US" w:eastAsia="zh-CN"/>
        </w:rPr>
        <w:t>醇油摩尔比20：1，反应温度140</w:t>
      </w:r>
      <w:r>
        <w:rPr>
          <w:rFonts w:hint="eastAsia" w:ascii="宋体" w:hAnsi="宋体" w:eastAsia="宋体" w:cs="宋体"/>
          <w:spacing w:val="8"/>
          <w:sz w:val="21"/>
          <w:szCs w:val="21"/>
          <w:highlight w:val="none"/>
          <w:shd w:val="clear" w:color="auto" w:fill="FFFFFF"/>
          <w:lang w:val="en-US" w:eastAsia="zh-CN"/>
        </w:rPr>
        <w:t>℃</w:t>
      </w:r>
      <w:r>
        <w:rPr>
          <w:rFonts w:hint="eastAsia" w:asciiTheme="minorEastAsia" w:hAnsiTheme="minorEastAsia" w:cstheme="minorEastAsia"/>
          <w:spacing w:val="8"/>
          <w:sz w:val="21"/>
          <w:szCs w:val="21"/>
          <w:highlight w:val="none"/>
          <w:shd w:val="clear" w:color="auto" w:fill="FFFFFF"/>
          <w:lang w:val="en-US" w:eastAsia="zh-CN"/>
        </w:rPr>
        <w:t>，压力小于0.2MPa，反应液相空速1.5ｈ</w:t>
      </w:r>
      <w:r>
        <w:rPr>
          <w:rFonts w:hint="eastAsia" w:asciiTheme="minorEastAsia" w:hAnsiTheme="minorEastAsia" w:cstheme="minorEastAsia"/>
          <w:spacing w:val="8"/>
          <w:sz w:val="21"/>
          <w:szCs w:val="21"/>
          <w:highlight w:val="none"/>
          <w:shd w:val="clear" w:color="auto" w:fill="FFFFFF"/>
          <w:vertAlign w:val="superscript"/>
          <w:lang w:val="en-US" w:eastAsia="zh-CN"/>
        </w:rPr>
        <w:t>-1</w:t>
      </w:r>
      <w:r>
        <w:rPr>
          <w:rFonts w:hint="eastAsia" w:ascii="宋体" w:hAnsi="宋体"/>
          <w:szCs w:val="21"/>
          <w:highlight w:val="none"/>
          <w:lang w:val="en-US" w:eastAsia="zh-CN"/>
        </w:rPr>
        <w:t>连续反应或间歇反应2～24小时；待酯化反应完全后，取样测试成分计算原料投入与产出的转化率，将上层的粗生物浮选剂分离出来；粗生物浮选剂置于精馏罐。</w:t>
      </w:r>
    </w:p>
    <w:p>
      <w:pPr>
        <w:spacing w:line="450" w:lineRule="exact"/>
        <w:ind w:firstLine="452" w:firstLineChars="200"/>
        <w:rPr>
          <w:rFonts w:hint="eastAsia" w:asciiTheme="minorEastAsia" w:hAnsiTheme="minorEastAsia" w:cstheme="minorEastAsia"/>
          <w:spacing w:val="8"/>
          <w:sz w:val="21"/>
          <w:szCs w:val="21"/>
          <w:highlight w:val="none"/>
          <w:shd w:val="clear" w:color="auto" w:fill="FFFFFF"/>
          <w:lang w:val="en-US" w:eastAsia="zh-CN"/>
        </w:rPr>
      </w:pPr>
      <w:r>
        <w:rPr>
          <w:rFonts w:hint="eastAsia" w:asciiTheme="minorEastAsia" w:hAnsiTheme="minorEastAsia" w:cstheme="minorEastAsia"/>
          <w:spacing w:val="8"/>
          <w:sz w:val="21"/>
          <w:szCs w:val="21"/>
          <w:highlight w:val="none"/>
          <w:shd w:val="clear" w:color="auto" w:fill="FFFFFF"/>
          <w:lang w:val="en-US" w:eastAsia="zh-CN"/>
        </w:rPr>
        <w:t>醇油摩尔比、反应温度、反应液相空速</w:t>
      </w:r>
      <w:bookmarkStart w:id="10" w:name="_Toc43720822"/>
      <w:bookmarkStart w:id="11" w:name="_Toc109715003"/>
      <w:bookmarkStart w:id="12" w:name="_Toc60012504"/>
      <w:bookmarkStart w:id="13" w:name="_Toc117763130"/>
      <w:bookmarkStart w:id="14" w:name="_Toc109570736"/>
      <w:r>
        <w:rPr>
          <w:rFonts w:hint="eastAsia" w:asciiTheme="minorEastAsia" w:hAnsiTheme="minorEastAsia" w:cstheme="minorEastAsia"/>
          <w:spacing w:val="8"/>
          <w:sz w:val="21"/>
          <w:szCs w:val="21"/>
          <w:highlight w:val="none"/>
          <w:shd w:val="clear" w:color="auto" w:fill="FFFFFF"/>
          <w:lang w:val="en-US" w:eastAsia="zh-CN"/>
        </w:rPr>
        <w:t>、压力为</w:t>
      </w:r>
      <w:r>
        <w:rPr>
          <w:rFonts w:hint="eastAsia" w:asciiTheme="minorEastAsia" w:hAnsiTheme="minorEastAsia" w:eastAsiaTheme="minorEastAsia" w:cstheme="minorEastAsia"/>
          <w:szCs w:val="21"/>
          <w:highlight w:val="none"/>
          <w:lang w:val="en-US" w:eastAsia="zh-CN"/>
        </w:rPr>
        <w:t>半成品</w:t>
      </w:r>
      <w:r>
        <w:rPr>
          <w:rFonts w:hint="eastAsia" w:asciiTheme="minorEastAsia" w:hAnsiTheme="minorEastAsia" w:cstheme="minorEastAsia"/>
          <w:szCs w:val="21"/>
          <w:highlight w:val="none"/>
          <w:lang w:val="en-US" w:eastAsia="zh-CN"/>
        </w:rPr>
        <w:t>生产工艺</w:t>
      </w:r>
      <w:r>
        <w:rPr>
          <w:rFonts w:hint="eastAsia" w:asciiTheme="minorEastAsia" w:hAnsiTheme="minorEastAsia" w:eastAsiaTheme="minorEastAsia" w:cstheme="minorEastAsia"/>
          <w:szCs w:val="21"/>
          <w:highlight w:val="none"/>
          <w:lang w:val="en-US" w:eastAsia="zh-CN"/>
        </w:rPr>
        <w:t>关键控制点</w:t>
      </w:r>
      <w:r>
        <w:rPr>
          <w:rFonts w:hint="eastAsia" w:asciiTheme="minorEastAsia" w:hAnsiTheme="minorEastAsia" w:cstheme="minorEastAsia"/>
          <w:spacing w:val="8"/>
          <w:sz w:val="21"/>
          <w:szCs w:val="21"/>
          <w:highlight w:val="none"/>
          <w:shd w:val="clear" w:color="auto" w:fill="FFFFFF"/>
          <w:lang w:val="en-US" w:eastAsia="zh-CN"/>
        </w:rPr>
        <w:t>。</w:t>
      </w:r>
      <w:bookmarkEnd w:id="10"/>
      <w:bookmarkEnd w:id="11"/>
      <w:bookmarkEnd w:id="12"/>
      <w:bookmarkEnd w:id="13"/>
      <w:bookmarkEnd w:id="14"/>
      <w:bookmarkStart w:id="15" w:name="_Toc16995"/>
      <w:bookmarkStart w:id="16" w:name="_Toc116725611"/>
    </w:p>
    <w:p>
      <w:pPr>
        <w:spacing w:line="450" w:lineRule="exact"/>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5.2</w:t>
      </w:r>
      <w:r>
        <w:rPr>
          <w:rFonts w:hint="eastAsia" w:asciiTheme="minorEastAsia" w:hAnsiTheme="minorEastAsia" w:eastAsiaTheme="minorEastAsia" w:cstheme="minorEastAsia"/>
          <w:szCs w:val="21"/>
        </w:rPr>
        <w:t>质量控制</w:t>
      </w:r>
      <w:r>
        <w:rPr>
          <w:rFonts w:hint="eastAsia" w:asciiTheme="minorEastAsia" w:hAnsiTheme="minorEastAsia" w:cstheme="minorEastAsia"/>
          <w:szCs w:val="21"/>
          <w:lang w:val="en-US" w:eastAsia="zh-CN"/>
        </w:rPr>
        <w:t>指标及方法</w:t>
      </w:r>
      <w:r>
        <w:rPr>
          <w:rFonts w:hint="eastAsia" w:asciiTheme="minorEastAsia" w:hAnsiTheme="minorEastAsia" w:eastAsiaTheme="minorEastAsia" w:cstheme="minorEastAsia"/>
          <w:szCs w:val="21"/>
        </w:rPr>
        <w:t>应符合表</w:t>
      </w:r>
      <w:r>
        <w:rPr>
          <w:rFonts w:hint="eastAsia" w:asciiTheme="minorEastAsia" w:hAnsiTheme="minorEastAsia" w:cstheme="minorEastAsia"/>
          <w:szCs w:val="21"/>
          <w:lang w:val="en-US" w:eastAsia="zh-CN"/>
        </w:rPr>
        <w:t>3</w:t>
      </w:r>
      <w:r>
        <w:rPr>
          <w:rFonts w:hint="eastAsia" w:asciiTheme="minorEastAsia" w:hAnsiTheme="minorEastAsia" w:eastAsiaTheme="minorEastAsia" w:cstheme="minorEastAsia"/>
          <w:szCs w:val="21"/>
        </w:rPr>
        <w:t>要求。</w:t>
      </w:r>
    </w:p>
    <w:p>
      <w:pPr>
        <w:spacing w:line="450" w:lineRule="exact"/>
        <w:ind w:firstLine="420" w:firstLineChars="200"/>
        <w:jc w:val="center"/>
        <w:rPr>
          <w:rFonts w:hint="eastAsia" w:ascii="黑体" w:hAnsi="黑体" w:eastAsia="黑体" w:cs="黑体"/>
          <w:szCs w:val="21"/>
          <w:lang w:val="en-US" w:eastAsia="zh-CN"/>
        </w:rPr>
      </w:pPr>
      <w:r>
        <w:rPr>
          <w:rFonts w:hint="eastAsia" w:ascii="黑体" w:hAnsi="黑体" w:eastAsia="黑体" w:cs="黑体"/>
          <w:szCs w:val="21"/>
          <w:lang w:val="en-US" w:eastAsia="zh-CN"/>
        </w:rPr>
        <w:t>表3 半成品质量控制指标及方法</w:t>
      </w:r>
    </w:p>
    <w:tbl>
      <w:tblPr>
        <w:tblStyle w:val="11"/>
        <w:tblpPr w:leftFromText="180" w:rightFromText="180" w:vertAnchor="text" w:horzAnchor="page" w:tblpX="1545" w:tblpY="271"/>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9"/>
        <w:gridCol w:w="936"/>
        <w:gridCol w:w="917"/>
        <w:gridCol w:w="3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29" w:type="dxa"/>
            <w:vMerge w:val="restart"/>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w:t>
            </w:r>
          </w:p>
        </w:tc>
        <w:tc>
          <w:tcPr>
            <w:tcW w:w="1853" w:type="dxa"/>
            <w:gridSpan w:val="2"/>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指标</w:t>
            </w:r>
          </w:p>
        </w:tc>
        <w:tc>
          <w:tcPr>
            <w:tcW w:w="3975" w:type="dxa"/>
            <w:vMerge w:val="restart"/>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29" w:type="dxa"/>
            <w:vMerge w:val="continue"/>
          </w:tcPr>
          <w:p>
            <w:pPr>
              <w:rPr>
                <w:rFonts w:hint="eastAsia" w:asciiTheme="minorEastAsia" w:hAnsiTheme="minorEastAsia" w:eastAsiaTheme="minorEastAsia" w:cstheme="minorEastAsia"/>
                <w:sz w:val="18"/>
                <w:szCs w:val="18"/>
              </w:rPr>
            </w:pPr>
          </w:p>
        </w:tc>
        <w:tc>
          <w:tcPr>
            <w:tcW w:w="936"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一等品</w:t>
            </w:r>
          </w:p>
        </w:tc>
        <w:tc>
          <w:tcPr>
            <w:tcW w:w="917"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合格品</w:t>
            </w:r>
          </w:p>
        </w:tc>
        <w:tc>
          <w:tcPr>
            <w:tcW w:w="3975" w:type="dxa"/>
            <w:vMerge w:val="continue"/>
            <w:vAlign w:val="center"/>
          </w:tcPr>
          <w:p>
            <w:pPr>
              <w:jc w:val="both"/>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29"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闭口闪点℃                 ≥</w:t>
            </w:r>
          </w:p>
        </w:tc>
        <w:tc>
          <w:tcPr>
            <w:tcW w:w="936"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100.0</w:t>
            </w:r>
          </w:p>
        </w:tc>
        <w:tc>
          <w:tcPr>
            <w:tcW w:w="917"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93.0</w:t>
            </w:r>
          </w:p>
        </w:tc>
        <w:tc>
          <w:tcPr>
            <w:tcW w:w="3975"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GB/T 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29"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酸值mgKOH/g                    </w:t>
            </w:r>
          </w:p>
        </w:tc>
        <w:tc>
          <w:tcPr>
            <w:tcW w:w="936"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实测值</w:t>
            </w:r>
          </w:p>
        </w:tc>
        <w:tc>
          <w:tcPr>
            <w:tcW w:w="917"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实测值</w:t>
            </w:r>
          </w:p>
        </w:tc>
        <w:tc>
          <w:tcPr>
            <w:tcW w:w="3975"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29"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碘值g/100g                 ≥              </w:t>
            </w:r>
          </w:p>
        </w:tc>
        <w:tc>
          <w:tcPr>
            <w:tcW w:w="936"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w:t>
            </w:r>
          </w:p>
        </w:tc>
        <w:tc>
          <w:tcPr>
            <w:tcW w:w="917"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8.00</w:t>
            </w:r>
          </w:p>
        </w:tc>
        <w:tc>
          <w:tcPr>
            <w:tcW w:w="3975"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GB/T</w:t>
            </w:r>
            <w:r>
              <w:rPr>
                <w:rFonts w:hint="eastAsia" w:asciiTheme="minorEastAsia" w:hAnsiTheme="minorEastAsia" w:eastAsiaTheme="minorEastAsia" w:cstheme="minorEastAsia"/>
                <w:sz w:val="18"/>
                <w:szCs w:val="18"/>
                <w:lang w:val="en-US" w:eastAsia="zh-CN"/>
              </w:rPr>
              <w:t xml:space="preserve"> 5532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29"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组分含量百分数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w:t>
            </w:r>
          </w:p>
        </w:tc>
        <w:tc>
          <w:tcPr>
            <w:tcW w:w="936"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100</w:t>
            </w:r>
          </w:p>
        </w:tc>
        <w:tc>
          <w:tcPr>
            <w:tcW w:w="917"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100</w:t>
            </w:r>
          </w:p>
        </w:tc>
        <w:tc>
          <w:tcPr>
            <w:tcW w:w="3975" w:type="dxa"/>
            <w:vMerge w:val="restart"/>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329"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脂肪酸甲酯</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w:t>
            </w:r>
          </w:p>
        </w:tc>
        <w:tc>
          <w:tcPr>
            <w:tcW w:w="936" w:type="dxa"/>
            <w:vAlign w:val="center"/>
          </w:tcPr>
          <w:p>
            <w:pP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实测值</w:t>
            </w:r>
          </w:p>
        </w:tc>
        <w:tc>
          <w:tcPr>
            <w:tcW w:w="917"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实测值</w:t>
            </w:r>
          </w:p>
        </w:tc>
        <w:tc>
          <w:tcPr>
            <w:tcW w:w="3975" w:type="dxa"/>
            <w:vMerge w:val="continue"/>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29"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 xml:space="preserve">1,3丙二醇丁基醚             </w:t>
            </w:r>
            <w:r>
              <w:rPr>
                <w:rFonts w:hint="eastAsia" w:asciiTheme="minorEastAsia" w:hAnsiTheme="minorEastAsia" w:eastAsiaTheme="minorEastAsia" w:cstheme="minorEastAsia"/>
                <w:sz w:val="18"/>
                <w:szCs w:val="18"/>
              </w:rPr>
              <w:t>%</w:t>
            </w:r>
          </w:p>
        </w:tc>
        <w:tc>
          <w:tcPr>
            <w:tcW w:w="936"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实测值</w:t>
            </w:r>
          </w:p>
        </w:tc>
        <w:tc>
          <w:tcPr>
            <w:tcW w:w="917"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实测值</w:t>
            </w:r>
          </w:p>
        </w:tc>
        <w:tc>
          <w:tcPr>
            <w:tcW w:w="3975" w:type="dxa"/>
            <w:vMerge w:val="continue"/>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29"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烃类油（</w:t>
            </w:r>
            <w:r>
              <w:rPr>
                <w:rFonts w:hint="eastAsia" w:asciiTheme="minorEastAsia" w:hAnsiTheme="minorEastAsia" w:eastAsiaTheme="minorEastAsia" w:cstheme="minorEastAsia"/>
                <w:sz w:val="18"/>
                <w:szCs w:val="18"/>
                <w:lang w:val="en-US" w:eastAsia="zh-CN"/>
              </w:rPr>
              <w:t>C11～C15</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w:t>
            </w:r>
          </w:p>
        </w:tc>
        <w:tc>
          <w:tcPr>
            <w:tcW w:w="936"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实测值</w:t>
            </w:r>
          </w:p>
        </w:tc>
        <w:tc>
          <w:tcPr>
            <w:tcW w:w="917"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实测值</w:t>
            </w:r>
          </w:p>
        </w:tc>
        <w:tc>
          <w:tcPr>
            <w:tcW w:w="3975" w:type="dxa"/>
            <w:vMerge w:val="continue"/>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29"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 xml:space="preserve">邻苯二甲酸二烷基酯 </w:t>
            </w:r>
            <w:r>
              <w:rPr>
                <w:rFonts w:hint="eastAsia" w:asciiTheme="minorEastAsia" w:hAnsiTheme="minorEastAsia" w:eastAsiaTheme="minorEastAsia" w:cstheme="minorEastAsia"/>
                <w:sz w:val="18"/>
                <w:szCs w:val="18"/>
              </w:rPr>
              <w:t xml:space="preserve">         %</w:t>
            </w:r>
          </w:p>
        </w:tc>
        <w:tc>
          <w:tcPr>
            <w:tcW w:w="936"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实测值</w:t>
            </w:r>
          </w:p>
        </w:tc>
        <w:tc>
          <w:tcPr>
            <w:tcW w:w="917"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实测值</w:t>
            </w:r>
          </w:p>
        </w:tc>
        <w:tc>
          <w:tcPr>
            <w:tcW w:w="3975" w:type="dxa"/>
            <w:vMerge w:val="continue"/>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29" w:type="dxa"/>
            <w:tcBorders>
              <w:bottom w:val="nil"/>
            </w:tcBorders>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甘油单脂肪酸酯</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w:t>
            </w:r>
          </w:p>
        </w:tc>
        <w:tc>
          <w:tcPr>
            <w:tcW w:w="936" w:type="dxa"/>
            <w:tcBorders>
              <w:bottom w:val="nil"/>
            </w:tcBorders>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实测值</w:t>
            </w:r>
          </w:p>
        </w:tc>
        <w:tc>
          <w:tcPr>
            <w:tcW w:w="917" w:type="dxa"/>
            <w:tcBorders>
              <w:bottom w:val="nil"/>
            </w:tcBorders>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实测值</w:t>
            </w:r>
          </w:p>
        </w:tc>
        <w:tc>
          <w:tcPr>
            <w:tcW w:w="3975" w:type="dxa"/>
            <w:vMerge w:val="continue"/>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29"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甘油二脂肪酸酯</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w:t>
            </w:r>
          </w:p>
        </w:tc>
        <w:tc>
          <w:tcPr>
            <w:tcW w:w="936"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实测值</w:t>
            </w:r>
          </w:p>
        </w:tc>
        <w:tc>
          <w:tcPr>
            <w:tcW w:w="917"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实测值</w:t>
            </w:r>
          </w:p>
        </w:tc>
        <w:tc>
          <w:tcPr>
            <w:tcW w:w="3975" w:type="dxa"/>
            <w:vMerge w:val="continue"/>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29"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甘油三脂肪酸酯</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w:t>
            </w:r>
          </w:p>
        </w:tc>
        <w:tc>
          <w:tcPr>
            <w:tcW w:w="936"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实测值</w:t>
            </w:r>
          </w:p>
        </w:tc>
        <w:tc>
          <w:tcPr>
            <w:tcW w:w="917"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实测值</w:t>
            </w:r>
          </w:p>
        </w:tc>
        <w:tc>
          <w:tcPr>
            <w:tcW w:w="3975" w:type="dxa"/>
            <w:vMerge w:val="continue"/>
            <w:vAlign w:val="center"/>
          </w:tcPr>
          <w:p>
            <w:pPr>
              <w:rPr>
                <w:rFonts w:hint="eastAsia"/>
              </w:rPr>
            </w:pPr>
          </w:p>
        </w:tc>
      </w:tr>
      <w:bookmarkEnd w:id="15"/>
    </w:tbl>
    <w:p>
      <w:pPr>
        <w:spacing w:line="450" w:lineRule="exact"/>
        <w:rPr>
          <w:rFonts w:hint="eastAsia" w:ascii="黑体" w:hAnsi="黑体" w:eastAsia="黑体"/>
          <w:bCs/>
          <w:szCs w:val="21"/>
          <w:lang w:val="en-US" w:eastAsia="zh-CN"/>
        </w:rPr>
      </w:pPr>
      <w:r>
        <w:rPr>
          <w:rFonts w:hint="eastAsia" w:ascii="黑体" w:hAnsi="黑体" w:eastAsia="黑体"/>
          <w:bCs/>
          <w:szCs w:val="21"/>
          <w:lang w:val="en-US" w:eastAsia="zh-CN"/>
        </w:rPr>
        <w:t>6成品技术要求</w:t>
      </w:r>
    </w:p>
    <w:p>
      <w:pPr>
        <w:spacing w:line="450" w:lineRule="exact"/>
        <w:rPr>
          <w:rFonts w:hint="eastAsia" w:asciiTheme="minorEastAsia" w:hAnsiTheme="minorEastAsia" w:eastAsiaTheme="minorEastAsia" w:cstheme="minorEastAsia"/>
          <w:szCs w:val="21"/>
          <w:lang w:val="en-US" w:eastAsia="zh-CN"/>
        </w:rPr>
      </w:pPr>
      <w:r>
        <w:rPr>
          <w:rFonts w:hint="eastAsia" w:ascii="宋体" w:hAnsi="宋体"/>
          <w:szCs w:val="21"/>
          <w:lang w:val="en-US" w:eastAsia="zh-CN"/>
        </w:rPr>
        <w:t>6.1</w:t>
      </w:r>
      <w:r>
        <w:rPr>
          <w:rFonts w:hint="eastAsia" w:asciiTheme="minorEastAsia" w:hAnsiTheme="minorEastAsia" w:eastAsiaTheme="minorEastAsia" w:cstheme="minorEastAsia"/>
          <w:szCs w:val="21"/>
          <w:lang w:val="en-US" w:eastAsia="zh-CN"/>
        </w:rPr>
        <w:t>成品</w:t>
      </w:r>
      <w:r>
        <w:rPr>
          <w:rFonts w:hint="eastAsia" w:asciiTheme="minorEastAsia" w:hAnsiTheme="minorEastAsia" w:cstheme="minorEastAsia"/>
          <w:szCs w:val="21"/>
          <w:lang w:val="en-US" w:eastAsia="zh-CN"/>
        </w:rPr>
        <w:t>生产工艺及</w:t>
      </w:r>
      <w:r>
        <w:rPr>
          <w:rFonts w:hint="eastAsia" w:asciiTheme="minorEastAsia" w:hAnsiTheme="minorEastAsia" w:eastAsiaTheme="minorEastAsia" w:cstheme="minorEastAsia"/>
          <w:szCs w:val="21"/>
          <w:lang w:val="en-US" w:eastAsia="zh-CN"/>
        </w:rPr>
        <w:t>关键控制点</w:t>
      </w:r>
    </w:p>
    <w:p>
      <w:pPr>
        <w:spacing w:line="450" w:lineRule="exact"/>
        <w:ind w:firstLine="420" w:firstLineChars="200"/>
        <w:rPr>
          <w:rFonts w:hint="default" w:asciiTheme="minorEastAsia" w:hAnsiTheme="minorEastAsia" w:cstheme="minorEastAsia"/>
          <w:szCs w:val="21"/>
          <w:highlight w:val="none"/>
          <w:lang w:val="en-US" w:eastAsia="zh-CN"/>
        </w:rPr>
      </w:pPr>
      <w:r>
        <w:rPr>
          <w:rFonts w:hint="eastAsia" w:ascii="宋体" w:hAnsi="宋体"/>
          <w:szCs w:val="21"/>
          <w:highlight w:val="none"/>
          <w:lang w:val="en-US" w:eastAsia="zh-CN"/>
        </w:rPr>
        <w:t>粗生物浮选剂精制工艺先是高温</w:t>
      </w:r>
      <w:r>
        <w:rPr>
          <w:rFonts w:hint="eastAsia" w:asciiTheme="minorEastAsia" w:hAnsiTheme="minorEastAsia" w:eastAsiaTheme="minorEastAsia" w:cstheme="minorEastAsia"/>
          <w:szCs w:val="21"/>
          <w:highlight w:val="none"/>
          <w:lang w:val="en-US" w:eastAsia="zh-CN"/>
        </w:rPr>
        <w:t>闪蒸</w:t>
      </w:r>
      <w:r>
        <w:rPr>
          <w:rFonts w:hint="eastAsia" w:asciiTheme="minorEastAsia" w:hAnsiTheme="minorEastAsia" w:cstheme="minorEastAsia"/>
          <w:szCs w:val="21"/>
          <w:highlight w:val="none"/>
          <w:lang w:val="en-US" w:eastAsia="zh-CN"/>
        </w:rPr>
        <w:t>掉低碳</w:t>
      </w:r>
      <w:r>
        <w:rPr>
          <w:rFonts w:hint="eastAsia" w:asciiTheme="minorEastAsia" w:hAnsiTheme="minorEastAsia" w:eastAsiaTheme="minorEastAsia" w:cstheme="minorEastAsia"/>
          <w:szCs w:val="21"/>
          <w:highlight w:val="none"/>
          <w:lang w:val="en-US" w:eastAsia="zh-CN"/>
        </w:rPr>
        <w:t>醇，</w:t>
      </w:r>
      <w:r>
        <w:rPr>
          <w:rFonts w:hint="eastAsia" w:asciiTheme="minorEastAsia" w:hAnsiTheme="minorEastAsia" w:cstheme="minorEastAsia"/>
          <w:szCs w:val="21"/>
          <w:highlight w:val="none"/>
          <w:lang w:val="en-US" w:eastAsia="zh-CN"/>
        </w:rPr>
        <w:t>温度控制在</w:t>
      </w:r>
      <w:r>
        <w:rPr>
          <w:rFonts w:hint="eastAsia" w:ascii="宋体" w:hAnsi="宋体"/>
          <w:szCs w:val="21"/>
          <w:highlight w:val="none"/>
          <w:lang w:val="en-US" w:eastAsia="zh-CN"/>
        </w:rPr>
        <w:t>70～230℃</w:t>
      </w:r>
      <w:r>
        <w:rPr>
          <w:rFonts w:hint="eastAsia" w:asciiTheme="minorEastAsia" w:hAnsiTheme="minorEastAsia" w:cstheme="minorEastAsia"/>
          <w:szCs w:val="21"/>
          <w:highlight w:val="none"/>
          <w:lang w:val="en-US" w:eastAsia="zh-CN"/>
        </w:rPr>
        <w:t>，时间7</w:t>
      </w:r>
      <w:r>
        <w:rPr>
          <w:rFonts w:hint="eastAsia" w:ascii="宋体" w:hAnsi="宋体"/>
          <w:szCs w:val="21"/>
          <w:highlight w:val="none"/>
          <w:lang w:val="en-US" w:eastAsia="zh-CN"/>
        </w:rPr>
        <w:t>小时，</w:t>
      </w:r>
      <w:r>
        <w:rPr>
          <w:rFonts w:hint="eastAsia" w:asciiTheme="minorEastAsia" w:hAnsiTheme="minorEastAsia" w:cstheme="minorEastAsia"/>
          <w:szCs w:val="21"/>
          <w:highlight w:val="none"/>
          <w:lang w:val="en-US" w:eastAsia="zh-CN"/>
        </w:rPr>
        <w:t>真空度控制在-0.09M</w:t>
      </w:r>
      <w:r>
        <w:rPr>
          <w:rFonts w:hint="eastAsia" w:asciiTheme="minorEastAsia" w:hAnsiTheme="minorEastAsia" w:cstheme="minorEastAsia"/>
          <w:szCs w:val="21"/>
          <w:highlight w:val="none"/>
        </w:rPr>
        <w:t>P</w:t>
      </w:r>
      <w:r>
        <w:rPr>
          <w:rFonts w:hint="eastAsia" w:asciiTheme="minorEastAsia" w:hAnsiTheme="minorEastAsia" w:cstheme="minorEastAsia"/>
          <w:szCs w:val="21"/>
          <w:highlight w:val="none"/>
          <w:lang w:val="en-US" w:eastAsia="zh-CN"/>
        </w:rPr>
        <w:t>a左右，随着温度的升高，通过减</w:t>
      </w:r>
      <w:r>
        <w:rPr>
          <w:rFonts w:hint="eastAsia" w:asciiTheme="minorEastAsia" w:hAnsiTheme="minorEastAsia" w:eastAsiaTheme="minorEastAsia" w:cstheme="minorEastAsia"/>
          <w:szCs w:val="21"/>
          <w:highlight w:val="none"/>
          <w:lang w:val="en-US" w:eastAsia="zh-CN"/>
        </w:rPr>
        <w:t>压</w:t>
      </w:r>
      <w:r>
        <w:rPr>
          <w:rFonts w:hint="eastAsia" w:asciiTheme="minorEastAsia" w:hAnsiTheme="minorEastAsia" w:cstheme="minorEastAsia"/>
          <w:szCs w:val="21"/>
          <w:highlight w:val="none"/>
          <w:lang w:val="en-US" w:eastAsia="zh-CN"/>
        </w:rPr>
        <w:t>精</w:t>
      </w:r>
      <w:r>
        <w:rPr>
          <w:rFonts w:hint="eastAsia" w:asciiTheme="minorEastAsia" w:hAnsiTheme="minorEastAsia" w:eastAsiaTheme="minorEastAsia" w:cstheme="minorEastAsia"/>
          <w:szCs w:val="21"/>
          <w:highlight w:val="none"/>
          <w:lang w:val="en-US" w:eastAsia="zh-CN"/>
        </w:rPr>
        <w:t>馏</w:t>
      </w:r>
      <w:r>
        <w:rPr>
          <w:rFonts w:hint="eastAsia" w:asciiTheme="minorEastAsia" w:hAnsiTheme="minorEastAsia" w:cstheme="minorEastAsia"/>
          <w:szCs w:val="21"/>
          <w:highlight w:val="none"/>
          <w:lang w:val="en-US" w:eastAsia="zh-CN"/>
        </w:rPr>
        <w:t>分别</w:t>
      </w:r>
      <w:r>
        <w:rPr>
          <w:rFonts w:hint="eastAsia" w:asciiTheme="minorEastAsia" w:hAnsiTheme="minorEastAsia" w:eastAsiaTheme="minorEastAsia" w:cstheme="minorEastAsia"/>
          <w:szCs w:val="21"/>
          <w:highlight w:val="none"/>
          <w:lang w:val="en-US" w:eastAsia="zh-CN"/>
        </w:rPr>
        <w:t>制得</w:t>
      </w:r>
      <w:r>
        <w:rPr>
          <w:rFonts w:hint="eastAsia" w:asciiTheme="minorEastAsia" w:hAnsiTheme="minorEastAsia" w:cstheme="minorEastAsia"/>
          <w:szCs w:val="21"/>
          <w:highlight w:val="none"/>
          <w:lang w:val="en-US" w:eastAsia="zh-CN"/>
        </w:rPr>
        <w:t>轻生物浮选剂、重生物浮选剂。</w:t>
      </w:r>
      <w:r>
        <w:rPr>
          <w:rFonts w:hint="eastAsia" w:asciiTheme="minorEastAsia" w:hAnsiTheme="minorEastAsia" w:cstheme="minorEastAsia"/>
          <w:szCs w:val="21"/>
          <w:lang w:val="en-US" w:eastAsia="zh-CN"/>
        </w:rPr>
        <w:t>采用一定的配制技术使生物浮选剂能达到符合浮选要求的浮选剂。</w:t>
      </w:r>
    </w:p>
    <w:p>
      <w:pPr>
        <w:spacing w:line="450" w:lineRule="exact"/>
        <w:ind w:firstLine="420" w:firstLineChars="200"/>
        <w:rPr>
          <w:rFonts w:hint="eastAsia" w:asciiTheme="minorEastAsia" w:hAnsiTheme="minorEastAsia" w:cstheme="minorEastAsia"/>
          <w:szCs w:val="21"/>
          <w:lang w:val="en-US" w:eastAsia="zh-CN"/>
        </w:rPr>
      </w:pPr>
      <w:r>
        <w:rPr>
          <w:rFonts w:hint="eastAsia" w:asciiTheme="minorEastAsia" w:hAnsiTheme="minorEastAsia" w:cstheme="minorEastAsia"/>
          <w:szCs w:val="21"/>
          <w:highlight w:val="none"/>
          <w:lang w:val="en-US" w:eastAsia="zh-CN"/>
        </w:rPr>
        <w:t>温度、反应时间、真空度、配制</w:t>
      </w:r>
      <w:r>
        <w:rPr>
          <w:rFonts w:hint="eastAsia" w:asciiTheme="minorEastAsia" w:hAnsiTheme="minorEastAsia" w:cstheme="minorEastAsia"/>
          <w:szCs w:val="21"/>
          <w:lang w:val="en-US" w:eastAsia="zh-CN"/>
        </w:rPr>
        <w:t>为生产工艺</w:t>
      </w:r>
      <w:r>
        <w:rPr>
          <w:rFonts w:hint="eastAsia" w:asciiTheme="minorEastAsia" w:hAnsiTheme="minorEastAsia" w:eastAsiaTheme="minorEastAsia" w:cstheme="minorEastAsia"/>
          <w:szCs w:val="21"/>
          <w:lang w:val="en-US" w:eastAsia="zh-CN"/>
        </w:rPr>
        <w:t>关键控制点</w:t>
      </w:r>
      <w:r>
        <w:rPr>
          <w:rFonts w:hint="eastAsia" w:asciiTheme="minorEastAsia" w:hAnsiTheme="minorEastAsia" w:cstheme="minorEastAsia"/>
          <w:szCs w:val="21"/>
          <w:highlight w:val="none"/>
          <w:lang w:val="en-US" w:eastAsia="zh-CN"/>
        </w:rPr>
        <w:t>。</w:t>
      </w:r>
    </w:p>
    <w:p>
      <w:pPr>
        <w:spacing w:line="450" w:lineRule="exac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6.</w:t>
      </w:r>
      <w:r>
        <w:rPr>
          <w:rFonts w:hint="eastAsia" w:asciiTheme="minorEastAsia" w:hAnsiTheme="minorEastAsia" w:cstheme="minorEastAsia"/>
          <w:szCs w:val="21"/>
          <w:lang w:val="en-US" w:eastAsia="zh-CN"/>
        </w:rPr>
        <w:t>2</w:t>
      </w:r>
      <w:r>
        <w:rPr>
          <w:rFonts w:hint="eastAsia" w:asciiTheme="minorEastAsia" w:hAnsiTheme="minorEastAsia" w:eastAsiaTheme="minorEastAsia" w:cstheme="minorEastAsia"/>
          <w:szCs w:val="21"/>
          <w:lang w:val="en-US" w:eastAsia="zh-CN"/>
        </w:rPr>
        <w:t>成品质量控制指标及方法</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废油脂转化生物浮选剂成品</w:t>
      </w:r>
      <w:r>
        <w:rPr>
          <w:rFonts w:hint="eastAsia" w:asciiTheme="minorEastAsia" w:hAnsiTheme="minorEastAsia" w:cstheme="minorEastAsia"/>
          <w:szCs w:val="21"/>
          <w:lang w:val="en-US" w:eastAsia="zh-CN"/>
        </w:rPr>
        <w:t>指标及</w:t>
      </w:r>
      <w:r>
        <w:rPr>
          <w:rFonts w:hint="eastAsia" w:asciiTheme="minorEastAsia" w:hAnsiTheme="minorEastAsia" w:eastAsiaTheme="minorEastAsia" w:cstheme="minorEastAsia"/>
          <w:szCs w:val="21"/>
        </w:rPr>
        <w:t>方法应符合表</w:t>
      </w:r>
      <w:r>
        <w:rPr>
          <w:rFonts w:hint="eastAsia" w:asciiTheme="minorEastAsia" w:hAnsiTheme="minorEastAsia" w:cstheme="minorEastAsia"/>
          <w:szCs w:val="21"/>
          <w:lang w:val="en-US" w:eastAsia="zh-CN"/>
        </w:rPr>
        <w:t>4</w:t>
      </w:r>
      <w:r>
        <w:rPr>
          <w:rFonts w:hint="eastAsia" w:asciiTheme="minorEastAsia" w:hAnsiTheme="minorEastAsia" w:eastAsiaTheme="minorEastAsia" w:cstheme="minorEastAsia"/>
          <w:szCs w:val="21"/>
        </w:rPr>
        <w:t>要求</w:t>
      </w:r>
    </w:p>
    <w:p>
      <w:pPr>
        <w:spacing w:line="440" w:lineRule="exact"/>
        <w:jc w:val="center"/>
        <w:rPr>
          <w:rFonts w:hint="eastAsia" w:ascii="黑体" w:hAnsi="黑体" w:eastAsia="黑体" w:cs="黑体"/>
          <w:szCs w:val="21"/>
          <w:lang w:val="en-US" w:eastAsia="zh-CN"/>
        </w:rPr>
      </w:pPr>
      <w:r>
        <w:rPr>
          <w:rFonts w:hint="eastAsia" w:ascii="黑体" w:hAnsi="黑体" w:eastAsia="黑体" w:cs="黑体"/>
          <w:szCs w:val="21"/>
          <w:lang w:val="en-US" w:eastAsia="zh-CN"/>
        </w:rPr>
        <w:t>表4 废油脂转化生物浮选剂成品质量控制指标及方法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Cs w:val="21"/>
          <w:lang w:val="en-US" w:eastAsia="zh-CN"/>
        </w:rPr>
      </w:pPr>
    </w:p>
    <w:tbl>
      <w:tblPr>
        <w:tblStyle w:val="11"/>
        <w:tblW w:w="9068"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9"/>
        <w:gridCol w:w="1798"/>
        <w:gridCol w:w="1959"/>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29" w:type="dxa"/>
            <w:vMerge w:val="restart"/>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w:t>
            </w:r>
          </w:p>
        </w:tc>
        <w:tc>
          <w:tcPr>
            <w:tcW w:w="3757" w:type="dxa"/>
            <w:gridSpan w:val="2"/>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指标</w:t>
            </w:r>
          </w:p>
        </w:tc>
        <w:tc>
          <w:tcPr>
            <w:tcW w:w="1982"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29" w:type="dxa"/>
            <w:vMerge w:val="continue"/>
          </w:tcPr>
          <w:p>
            <w:pPr>
              <w:rPr>
                <w:rFonts w:hint="eastAsia" w:asciiTheme="minorEastAsia" w:hAnsiTheme="minorEastAsia" w:eastAsiaTheme="minorEastAsia" w:cstheme="minorEastAsia"/>
                <w:sz w:val="18"/>
                <w:szCs w:val="18"/>
              </w:rPr>
            </w:pPr>
          </w:p>
        </w:tc>
        <w:tc>
          <w:tcPr>
            <w:tcW w:w="1798" w:type="dxa"/>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一等品</w:t>
            </w:r>
          </w:p>
        </w:tc>
        <w:tc>
          <w:tcPr>
            <w:tcW w:w="1959" w:type="dxa"/>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合格品</w:t>
            </w:r>
          </w:p>
        </w:tc>
        <w:tc>
          <w:tcPr>
            <w:tcW w:w="1982" w:type="dxa"/>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29" w:type="dxa"/>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外观 </w:t>
            </w:r>
          </w:p>
          <w:p>
            <w:pPr>
              <w:rPr>
                <w:rFonts w:hint="eastAsia" w:asciiTheme="minorEastAsia" w:hAnsiTheme="minorEastAsia" w:eastAsiaTheme="minorEastAsia" w:cstheme="minorEastAsia"/>
                <w:sz w:val="18"/>
                <w:szCs w:val="18"/>
              </w:rPr>
            </w:pPr>
          </w:p>
        </w:tc>
        <w:tc>
          <w:tcPr>
            <w:tcW w:w="1798" w:type="dxa"/>
            <w:vAlign w:val="top"/>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本品应为淡黄色至黄色澄清油状液体</w:t>
            </w:r>
            <w:r>
              <w:rPr>
                <w:rFonts w:hint="eastAsia" w:asciiTheme="minorEastAsia" w:hAnsiTheme="minorEastAsia" w:eastAsiaTheme="minorEastAsia" w:cstheme="minorEastAsia"/>
                <w:sz w:val="18"/>
                <w:szCs w:val="18"/>
                <w:lang w:eastAsia="zh-CN"/>
              </w:rPr>
              <w:t>。</w:t>
            </w:r>
          </w:p>
        </w:tc>
        <w:tc>
          <w:tcPr>
            <w:tcW w:w="1959" w:type="dxa"/>
            <w:vAlign w:val="top"/>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本品应为淡黄色至黄色澄清油状液体</w:t>
            </w:r>
            <w:r>
              <w:rPr>
                <w:rFonts w:hint="eastAsia" w:asciiTheme="minorEastAsia" w:hAnsiTheme="minorEastAsia" w:eastAsiaTheme="minorEastAsia" w:cstheme="minorEastAsia"/>
                <w:sz w:val="18"/>
                <w:szCs w:val="18"/>
                <w:lang w:eastAsia="zh-CN"/>
              </w:rPr>
              <w:t>。</w:t>
            </w:r>
          </w:p>
        </w:tc>
        <w:tc>
          <w:tcPr>
            <w:tcW w:w="1982" w:type="dxa"/>
            <w:vAlign w:val="top"/>
          </w:tcPr>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目测</w:t>
            </w:r>
          </w:p>
          <w:p>
            <w:pPr>
              <w:rPr>
                <w:rFonts w:hint="eastAsia" w:asciiTheme="minorEastAsia" w:hAnsiTheme="minorEastAsia" w:eastAsiaTheme="minorEastAsia" w:cs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29" w:type="dxa"/>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密度</w:t>
            </w:r>
            <w:r>
              <w:rPr>
                <w:rFonts w:hint="eastAsia" w:asciiTheme="minorEastAsia" w:hAnsiTheme="minorEastAsia" w:eastAsiaTheme="minorEastAsia" w:cstheme="minorEastAsia"/>
                <w:sz w:val="18"/>
                <w:szCs w:val="18"/>
              </w:rPr>
              <w:t>g/cm3</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w:t>
            </w:r>
          </w:p>
        </w:tc>
        <w:tc>
          <w:tcPr>
            <w:tcW w:w="1798" w:type="dxa"/>
            <w:vAlign w:val="top"/>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0.890</w:t>
            </w:r>
          </w:p>
        </w:tc>
        <w:tc>
          <w:tcPr>
            <w:tcW w:w="1959" w:type="dxa"/>
            <w:vAlign w:val="top"/>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0.900</w:t>
            </w:r>
          </w:p>
        </w:tc>
        <w:tc>
          <w:tcPr>
            <w:tcW w:w="1982" w:type="dxa"/>
            <w:vAlign w:val="top"/>
          </w:tcPr>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GB/T 1884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29"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运动粘度 mm2/s 40℃</w:t>
            </w:r>
          </w:p>
        </w:tc>
        <w:tc>
          <w:tcPr>
            <w:tcW w:w="1798"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2.0～6.0</w:t>
            </w:r>
          </w:p>
        </w:tc>
        <w:tc>
          <w:tcPr>
            <w:tcW w:w="1959"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1.5～6.5</w:t>
            </w:r>
          </w:p>
        </w:tc>
        <w:tc>
          <w:tcPr>
            <w:tcW w:w="1982"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GB/T 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29"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凝点℃                     ≤</w:t>
            </w:r>
          </w:p>
        </w:tc>
        <w:tc>
          <w:tcPr>
            <w:tcW w:w="1798"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w:t>
            </w:r>
          </w:p>
        </w:tc>
        <w:tc>
          <w:tcPr>
            <w:tcW w:w="1959"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10.0</w:t>
            </w:r>
          </w:p>
        </w:tc>
        <w:tc>
          <w:tcPr>
            <w:tcW w:w="1982"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GB/T 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29"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闭口闪点℃                 ≥</w:t>
            </w:r>
          </w:p>
        </w:tc>
        <w:tc>
          <w:tcPr>
            <w:tcW w:w="1798"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100.0</w:t>
            </w:r>
          </w:p>
        </w:tc>
        <w:tc>
          <w:tcPr>
            <w:tcW w:w="1959"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93.0</w:t>
            </w:r>
          </w:p>
        </w:tc>
        <w:tc>
          <w:tcPr>
            <w:tcW w:w="1982"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GB/T 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29" w:type="dxa"/>
            <w:vAlign w:val="center"/>
          </w:tcPr>
          <w:p>
            <w:pP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铜片腐蚀（50℃，3h）/级 不大</w:t>
            </w:r>
            <w:r>
              <w:rPr>
                <w:rFonts w:hint="eastAsia" w:asciiTheme="minorEastAsia" w:hAnsiTheme="minorEastAsia" w:eastAsiaTheme="minorEastAsia" w:cstheme="minorEastAsia"/>
                <w:sz w:val="18"/>
                <w:szCs w:val="18"/>
                <w:lang w:val="en-US" w:eastAsia="zh-CN"/>
              </w:rPr>
              <w:t>于</w:t>
            </w:r>
          </w:p>
        </w:tc>
        <w:tc>
          <w:tcPr>
            <w:tcW w:w="1798"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959"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1b </w:t>
            </w:r>
          </w:p>
        </w:tc>
        <w:tc>
          <w:tcPr>
            <w:tcW w:w="1982"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GB/T5096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29"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酸值mgKOH/g                   </w:t>
            </w:r>
          </w:p>
        </w:tc>
        <w:tc>
          <w:tcPr>
            <w:tcW w:w="1798"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实测值</w:t>
            </w:r>
          </w:p>
        </w:tc>
        <w:tc>
          <w:tcPr>
            <w:tcW w:w="1959"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实测值 </w:t>
            </w:r>
          </w:p>
        </w:tc>
        <w:tc>
          <w:tcPr>
            <w:tcW w:w="1982" w:type="dxa"/>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29"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碘g/100g                  ≥                </w:t>
            </w:r>
          </w:p>
        </w:tc>
        <w:tc>
          <w:tcPr>
            <w:tcW w:w="1798"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w:t>
            </w:r>
          </w:p>
        </w:tc>
        <w:tc>
          <w:tcPr>
            <w:tcW w:w="1959"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8.00</w:t>
            </w:r>
          </w:p>
        </w:tc>
        <w:tc>
          <w:tcPr>
            <w:tcW w:w="1982"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GB</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T</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5532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29"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组分含量百分数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w:t>
            </w:r>
          </w:p>
        </w:tc>
        <w:tc>
          <w:tcPr>
            <w:tcW w:w="1798"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100</w:t>
            </w:r>
          </w:p>
        </w:tc>
        <w:tc>
          <w:tcPr>
            <w:tcW w:w="1959" w:type="dxa"/>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100</w:t>
            </w:r>
          </w:p>
        </w:tc>
        <w:tc>
          <w:tcPr>
            <w:tcW w:w="1982" w:type="dxa"/>
            <w:vMerge w:val="restart"/>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29"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脂肪酸甲酯</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w:t>
            </w:r>
          </w:p>
        </w:tc>
        <w:tc>
          <w:tcPr>
            <w:tcW w:w="1798"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实测值</w:t>
            </w:r>
          </w:p>
        </w:tc>
        <w:tc>
          <w:tcPr>
            <w:tcW w:w="1959"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实测值</w:t>
            </w:r>
          </w:p>
        </w:tc>
        <w:tc>
          <w:tcPr>
            <w:tcW w:w="1982" w:type="dxa"/>
            <w:vMerge w:val="continue"/>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29"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 xml:space="preserve">1,3丙二醇丁基醚            </w:t>
            </w:r>
            <w:r>
              <w:rPr>
                <w:rFonts w:hint="eastAsia" w:asciiTheme="minorEastAsia" w:hAnsiTheme="minorEastAsia" w:eastAsiaTheme="minorEastAsia" w:cstheme="minorEastAsia"/>
                <w:sz w:val="18"/>
                <w:szCs w:val="18"/>
              </w:rPr>
              <w:t>%</w:t>
            </w:r>
          </w:p>
        </w:tc>
        <w:tc>
          <w:tcPr>
            <w:tcW w:w="1798"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实测值</w:t>
            </w:r>
          </w:p>
        </w:tc>
        <w:tc>
          <w:tcPr>
            <w:tcW w:w="1959"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实测值</w:t>
            </w:r>
          </w:p>
        </w:tc>
        <w:tc>
          <w:tcPr>
            <w:tcW w:w="1982" w:type="dxa"/>
            <w:vMerge w:val="continue"/>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29"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烃类油（</w:t>
            </w:r>
            <w:r>
              <w:rPr>
                <w:rFonts w:hint="eastAsia" w:asciiTheme="minorEastAsia" w:hAnsiTheme="minorEastAsia" w:eastAsiaTheme="minorEastAsia" w:cstheme="minorEastAsia"/>
                <w:sz w:val="18"/>
                <w:szCs w:val="18"/>
                <w:lang w:val="en-US" w:eastAsia="zh-CN"/>
              </w:rPr>
              <w:t>C11～C15</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w:t>
            </w:r>
          </w:p>
        </w:tc>
        <w:tc>
          <w:tcPr>
            <w:tcW w:w="1798"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实测值</w:t>
            </w:r>
          </w:p>
        </w:tc>
        <w:tc>
          <w:tcPr>
            <w:tcW w:w="1959"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实测值</w:t>
            </w:r>
          </w:p>
        </w:tc>
        <w:tc>
          <w:tcPr>
            <w:tcW w:w="1982" w:type="dxa"/>
            <w:vMerge w:val="continue"/>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29"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 xml:space="preserve">邻苯二甲酸二烷基酯 </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w:t>
            </w:r>
          </w:p>
        </w:tc>
        <w:tc>
          <w:tcPr>
            <w:tcW w:w="1798"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实测值</w:t>
            </w:r>
          </w:p>
        </w:tc>
        <w:tc>
          <w:tcPr>
            <w:tcW w:w="1959"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实测值</w:t>
            </w:r>
          </w:p>
        </w:tc>
        <w:tc>
          <w:tcPr>
            <w:tcW w:w="1982" w:type="dxa"/>
            <w:vMerge w:val="continue"/>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29"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甘油单脂肪酸酯</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w:t>
            </w:r>
          </w:p>
        </w:tc>
        <w:tc>
          <w:tcPr>
            <w:tcW w:w="1798"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实测值</w:t>
            </w:r>
          </w:p>
        </w:tc>
        <w:tc>
          <w:tcPr>
            <w:tcW w:w="1959"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实测值</w:t>
            </w:r>
          </w:p>
        </w:tc>
        <w:tc>
          <w:tcPr>
            <w:tcW w:w="1982" w:type="dxa"/>
            <w:vMerge w:val="continue"/>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29"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甘油二脂肪酸酯</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w:t>
            </w:r>
          </w:p>
        </w:tc>
        <w:tc>
          <w:tcPr>
            <w:tcW w:w="1798"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实测值</w:t>
            </w:r>
          </w:p>
        </w:tc>
        <w:tc>
          <w:tcPr>
            <w:tcW w:w="1959"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实测值</w:t>
            </w:r>
          </w:p>
        </w:tc>
        <w:tc>
          <w:tcPr>
            <w:tcW w:w="1982" w:type="dxa"/>
            <w:vMerge w:val="continue"/>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29"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甘油三脂肪酸酯</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w:t>
            </w:r>
          </w:p>
        </w:tc>
        <w:tc>
          <w:tcPr>
            <w:tcW w:w="1798"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实测值</w:t>
            </w:r>
          </w:p>
        </w:tc>
        <w:tc>
          <w:tcPr>
            <w:tcW w:w="1959" w:type="dxa"/>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实测值</w:t>
            </w:r>
          </w:p>
        </w:tc>
        <w:tc>
          <w:tcPr>
            <w:tcW w:w="1982" w:type="dxa"/>
            <w:vMerge w:val="continue"/>
            <w:vAlign w:val="center"/>
          </w:tcPr>
          <w:p>
            <w:pPr>
              <w:rPr>
                <w:rFonts w:hint="eastAsia"/>
              </w:rPr>
            </w:pPr>
          </w:p>
        </w:tc>
      </w:tr>
    </w:tbl>
    <w:p>
      <w:pPr>
        <w:spacing w:line="450" w:lineRule="exact"/>
        <w:rPr>
          <w:rFonts w:hint="eastAsia" w:ascii="黑体" w:hAnsi="黑体" w:eastAsia="黑体"/>
          <w:bCs/>
          <w:szCs w:val="21"/>
          <w:lang w:val="en-US" w:eastAsia="zh-CN"/>
        </w:rPr>
      </w:pPr>
      <w:r>
        <w:rPr>
          <w:rFonts w:hint="eastAsia" w:ascii="黑体" w:hAnsi="黑体" w:eastAsia="黑体"/>
          <w:bCs/>
          <w:szCs w:val="21"/>
          <w:lang w:val="en-US" w:eastAsia="zh-CN"/>
        </w:rPr>
        <w:t>7生产工艺安全要求</w:t>
      </w:r>
    </w:p>
    <w:p>
      <w:pPr>
        <w:spacing w:line="450" w:lineRule="exact"/>
        <w:ind w:firstLine="420" w:firstLineChars="200"/>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7.1废油脂、醇类、浮选剂均为可燃物品，应密闭储存，禁止明火。工作场所必须配备消防设施.</w:t>
      </w:r>
    </w:p>
    <w:p>
      <w:pPr>
        <w:spacing w:line="450" w:lineRule="exact"/>
        <w:ind w:firstLine="420" w:firstLineChars="200"/>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7.2搬运过程不得乱撞乱摔，防止</w:t>
      </w:r>
      <w:r>
        <w:rPr>
          <w:rFonts w:hint="eastAsia" w:ascii="宋体" w:hAnsi="宋体"/>
          <w:szCs w:val="21"/>
          <w:lang w:val="en-US" w:eastAsia="zh-CN"/>
        </w:rPr>
        <w:t>泄漏等</w:t>
      </w:r>
      <w:r>
        <w:rPr>
          <w:rFonts w:hint="eastAsia" w:asciiTheme="minorEastAsia" w:hAnsiTheme="minorEastAsia" w:cstheme="minorEastAsia"/>
          <w:szCs w:val="21"/>
          <w:lang w:val="en-US" w:eastAsia="zh-CN"/>
        </w:rPr>
        <w:t>事故发生。</w:t>
      </w:r>
    </w:p>
    <w:p>
      <w:pPr>
        <w:spacing w:line="450" w:lineRule="exact"/>
        <w:ind w:firstLine="420" w:firstLineChars="200"/>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7.3注意压力容器的安全操作，防止超压甚至泄漏等安全隐患发生。</w:t>
      </w:r>
    </w:p>
    <w:p>
      <w:pPr>
        <w:spacing w:line="450" w:lineRule="exact"/>
        <w:ind w:firstLine="420" w:firstLineChars="200"/>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7.4安全培训考核合格后，方可上岗操作。</w:t>
      </w:r>
    </w:p>
    <w:p>
      <w:pPr>
        <w:spacing w:line="450" w:lineRule="exact"/>
        <w:rPr>
          <w:rFonts w:hint="default" w:ascii="黑体" w:hAnsi="黑体" w:eastAsia="黑体"/>
          <w:bCs/>
          <w:szCs w:val="21"/>
          <w:lang w:val="en-US" w:eastAsia="zh-CN"/>
        </w:rPr>
      </w:pPr>
      <w:r>
        <w:rPr>
          <w:rFonts w:hint="eastAsia" w:ascii="黑体" w:hAnsi="黑体" w:eastAsia="黑体"/>
          <w:bCs/>
          <w:szCs w:val="21"/>
          <w:lang w:val="en-US" w:eastAsia="zh-CN"/>
        </w:rPr>
        <w:t xml:space="preserve">8质量控制规则 </w:t>
      </w:r>
    </w:p>
    <w:p>
      <w:pPr>
        <w:spacing w:line="450" w:lineRule="exact"/>
        <w:outlineLvl w:val="0"/>
        <w:rPr>
          <w:rFonts w:hint="default" w:asciiTheme="minorEastAsia" w:hAnsiTheme="minorEastAsia" w:eastAsiaTheme="minorEastAsia" w:cstheme="minorEastAsia"/>
          <w:szCs w:val="21"/>
          <w:lang w:val="en-US" w:eastAsia="zh-CN"/>
        </w:rPr>
      </w:pPr>
      <w:bookmarkStart w:id="17" w:name="_Toc8568"/>
      <w:bookmarkStart w:id="18" w:name="_Toc2872"/>
      <w:r>
        <w:rPr>
          <w:rFonts w:hint="eastAsia" w:asciiTheme="minorEastAsia" w:hAnsiTheme="minorEastAsia" w:cstheme="minorEastAsia"/>
          <w:szCs w:val="21"/>
          <w:lang w:val="en-US" w:eastAsia="zh-CN"/>
        </w:rPr>
        <w:t>8</w:t>
      </w:r>
      <w:r>
        <w:rPr>
          <w:rFonts w:hint="eastAsia" w:asciiTheme="minorEastAsia" w:hAnsiTheme="minorEastAsia" w:eastAsiaTheme="minorEastAsia" w:cstheme="minorEastAsia"/>
          <w:szCs w:val="21"/>
          <w:lang w:val="en-US" w:eastAsia="zh-CN"/>
        </w:rPr>
        <w:t>.</w:t>
      </w:r>
      <w:r>
        <w:rPr>
          <w:rFonts w:hint="eastAsia" w:asciiTheme="minorEastAsia" w:hAnsiTheme="minorEastAsia" w:cstheme="minorEastAsia"/>
          <w:szCs w:val="21"/>
          <w:lang w:val="en-US" w:eastAsia="zh-CN"/>
        </w:rPr>
        <w:t>1检验分类</w:t>
      </w:r>
      <w:bookmarkEnd w:id="17"/>
      <w:bookmarkEnd w:id="18"/>
    </w:p>
    <w:p>
      <w:pPr>
        <w:spacing w:line="450" w:lineRule="exact"/>
        <w:ind w:firstLine="420" w:firstLineChars="200"/>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废油脂转化生物浮选剂产品检验分为型式检验和出厂检验。</w:t>
      </w:r>
    </w:p>
    <w:p>
      <w:pPr>
        <w:spacing w:line="450" w:lineRule="exact"/>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8.1.1</w:t>
      </w:r>
      <w:r>
        <w:rPr>
          <w:rFonts w:hint="eastAsia" w:asciiTheme="minorEastAsia" w:hAnsiTheme="minorEastAsia" w:eastAsiaTheme="minorEastAsia" w:cstheme="minorEastAsia"/>
          <w:szCs w:val="21"/>
          <w:lang w:val="en-US" w:eastAsia="zh-CN"/>
        </w:rPr>
        <w:t>型式检验</w:t>
      </w:r>
    </w:p>
    <w:p>
      <w:pPr>
        <w:spacing w:line="450" w:lineRule="exact"/>
        <w:ind w:firstLine="420" w:firstLineChars="200"/>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分别对生物浮选剂各产品的物理化学性能指标按规定的内容和外观、净包装量进行型式检验。</w:t>
      </w:r>
      <w:r>
        <w:rPr>
          <w:rFonts w:hint="default" w:asciiTheme="minorEastAsia" w:hAnsiTheme="minorEastAsia" w:eastAsiaTheme="minorEastAsia" w:cstheme="minorEastAsia"/>
          <w:szCs w:val="21"/>
          <w:lang w:val="en-US" w:eastAsia="zh-CN"/>
        </w:rPr>
        <w:t>通常有下列情况之一时，一般应进行型式检验，也可根据产品实际情况进行型式检验：</w:t>
      </w:r>
    </w:p>
    <w:p>
      <w:pPr>
        <w:spacing w:line="450" w:lineRule="exact"/>
        <w:ind w:firstLine="420" w:firstLineChars="200"/>
        <w:rPr>
          <w:rFonts w:hint="default" w:asciiTheme="minorEastAsia" w:hAnsiTheme="minorEastAsia" w:eastAsiaTheme="minorEastAsia" w:cstheme="minorEastAsia"/>
          <w:szCs w:val="21"/>
          <w:lang w:val="en-US" w:eastAsia="zh-CN"/>
        </w:rPr>
      </w:pPr>
      <w:r>
        <w:rPr>
          <w:rFonts w:hint="default" w:asciiTheme="minorEastAsia" w:hAnsiTheme="minorEastAsia" w:eastAsiaTheme="minorEastAsia" w:cstheme="minorEastAsia"/>
          <w:szCs w:val="21"/>
          <w:lang w:val="en-US" w:eastAsia="zh-CN"/>
        </w:rPr>
        <w:t>a)新产品或老产品转厂生产的试制定型检验；</w:t>
      </w:r>
    </w:p>
    <w:p>
      <w:pPr>
        <w:spacing w:line="450" w:lineRule="exact"/>
        <w:ind w:firstLine="420" w:firstLineChars="200"/>
        <w:rPr>
          <w:rFonts w:hint="default" w:asciiTheme="minorEastAsia" w:hAnsiTheme="minorEastAsia" w:eastAsiaTheme="minorEastAsia" w:cstheme="minorEastAsia"/>
          <w:szCs w:val="21"/>
          <w:lang w:val="en-US" w:eastAsia="zh-CN"/>
        </w:rPr>
      </w:pPr>
      <w:r>
        <w:rPr>
          <w:rFonts w:hint="default" w:asciiTheme="minorEastAsia" w:hAnsiTheme="minorEastAsia" w:eastAsiaTheme="minorEastAsia" w:cstheme="minorEastAsia"/>
          <w:szCs w:val="21"/>
          <w:lang w:val="en-US" w:eastAsia="zh-CN"/>
        </w:rPr>
        <w:t>b)正式生产后，如材料、</w:t>
      </w:r>
      <w:r>
        <w:rPr>
          <w:rFonts w:hint="eastAsia" w:asciiTheme="minorEastAsia" w:hAnsiTheme="minorEastAsia" w:cstheme="minorEastAsia"/>
          <w:szCs w:val="21"/>
          <w:lang w:val="en-US" w:eastAsia="zh-CN"/>
        </w:rPr>
        <w:t>配方</w:t>
      </w:r>
      <w:r>
        <w:rPr>
          <w:rFonts w:hint="default" w:asciiTheme="minorEastAsia" w:hAnsiTheme="minorEastAsia" w:eastAsiaTheme="minorEastAsia" w:cstheme="minorEastAsia"/>
          <w:szCs w:val="21"/>
          <w:lang w:val="en-US" w:eastAsia="zh-CN"/>
        </w:rPr>
        <w:t>、工艺</w:t>
      </w:r>
      <w:r>
        <w:rPr>
          <w:rFonts w:hint="eastAsia" w:asciiTheme="minorEastAsia" w:hAnsiTheme="minorEastAsia" w:cstheme="minorEastAsia"/>
          <w:szCs w:val="21"/>
          <w:lang w:val="en-US" w:eastAsia="zh-CN"/>
        </w:rPr>
        <w:t>等</w:t>
      </w:r>
      <w:r>
        <w:rPr>
          <w:rFonts w:hint="default" w:asciiTheme="minorEastAsia" w:hAnsiTheme="minorEastAsia" w:eastAsiaTheme="minorEastAsia" w:cstheme="minorEastAsia"/>
          <w:szCs w:val="21"/>
          <w:lang w:val="en-US" w:eastAsia="zh-CN"/>
        </w:rPr>
        <w:t>有较大的改变</w:t>
      </w:r>
      <w:r>
        <w:rPr>
          <w:rFonts w:hint="eastAsia" w:asciiTheme="minorEastAsia" w:hAnsiTheme="minorEastAsia" w:cstheme="minorEastAsia"/>
          <w:szCs w:val="21"/>
          <w:lang w:val="en-US" w:eastAsia="zh-CN"/>
        </w:rPr>
        <w:t>或设备改造</w:t>
      </w:r>
      <w:r>
        <w:rPr>
          <w:rFonts w:hint="default" w:asciiTheme="minorEastAsia" w:hAnsiTheme="minorEastAsia" w:eastAsiaTheme="minorEastAsia" w:cstheme="minorEastAsia"/>
          <w:szCs w:val="21"/>
          <w:lang w:val="en-US" w:eastAsia="zh-CN"/>
        </w:rPr>
        <w:t>可能影响产品质量及性能时；</w:t>
      </w:r>
    </w:p>
    <w:p>
      <w:pPr>
        <w:spacing w:line="450" w:lineRule="exact"/>
        <w:ind w:firstLine="420" w:firstLineChars="200"/>
        <w:rPr>
          <w:rFonts w:hint="default" w:asciiTheme="minorEastAsia" w:hAnsiTheme="minorEastAsia" w:eastAsiaTheme="minorEastAsia" w:cstheme="minorEastAsia"/>
          <w:szCs w:val="21"/>
          <w:lang w:val="en-US" w:eastAsia="zh-CN"/>
        </w:rPr>
      </w:pPr>
      <w:r>
        <w:rPr>
          <w:rFonts w:hint="default" w:asciiTheme="minorEastAsia" w:hAnsiTheme="minorEastAsia" w:eastAsiaTheme="minorEastAsia" w:cstheme="minorEastAsia"/>
          <w:szCs w:val="21"/>
          <w:lang w:val="en-US" w:eastAsia="zh-CN"/>
        </w:rPr>
        <w:t>c)正式生产时，定期或积累一定产量后，应周期性进行一次检验；</w:t>
      </w:r>
    </w:p>
    <w:p>
      <w:pPr>
        <w:spacing w:line="450" w:lineRule="exact"/>
        <w:ind w:firstLine="420" w:firstLineChars="200"/>
        <w:rPr>
          <w:rFonts w:hint="default" w:asciiTheme="minorEastAsia" w:hAnsiTheme="minorEastAsia" w:eastAsiaTheme="minorEastAsia" w:cstheme="minorEastAsia"/>
          <w:szCs w:val="21"/>
          <w:lang w:val="en-US" w:eastAsia="zh-CN"/>
        </w:rPr>
      </w:pPr>
      <w:r>
        <w:rPr>
          <w:rFonts w:hint="default" w:asciiTheme="minorEastAsia" w:hAnsiTheme="minorEastAsia" w:eastAsiaTheme="minorEastAsia" w:cstheme="minorEastAsia"/>
          <w:szCs w:val="21"/>
          <w:lang w:val="en-US" w:eastAsia="zh-CN"/>
        </w:rPr>
        <w:t>d)产品长期停产后，恢复生产时；</w:t>
      </w:r>
    </w:p>
    <w:p>
      <w:pPr>
        <w:spacing w:line="450" w:lineRule="exact"/>
        <w:ind w:firstLine="420" w:firstLineChars="200"/>
        <w:rPr>
          <w:rFonts w:hint="default" w:asciiTheme="minorEastAsia" w:hAnsiTheme="minorEastAsia" w:eastAsiaTheme="minorEastAsia" w:cstheme="minorEastAsia"/>
          <w:szCs w:val="21"/>
          <w:lang w:val="en-US" w:eastAsia="zh-CN"/>
        </w:rPr>
      </w:pPr>
      <w:r>
        <w:rPr>
          <w:rFonts w:hint="default" w:asciiTheme="minorEastAsia" w:hAnsiTheme="minorEastAsia" w:eastAsiaTheme="minorEastAsia" w:cstheme="minorEastAsia"/>
          <w:szCs w:val="21"/>
          <w:lang w:val="en-US" w:eastAsia="zh-CN"/>
        </w:rPr>
        <w:t>e)本次出厂检验结果与上一次型式检验有较大差异时；</w:t>
      </w:r>
    </w:p>
    <w:p>
      <w:pPr>
        <w:spacing w:line="450" w:lineRule="exact"/>
        <w:ind w:firstLine="420" w:firstLineChars="200"/>
        <w:rPr>
          <w:rFonts w:hint="default" w:asciiTheme="minorEastAsia" w:hAnsiTheme="minorEastAsia" w:eastAsiaTheme="minorEastAsia" w:cstheme="minorEastAsia"/>
          <w:color w:val="0000FF"/>
          <w:szCs w:val="21"/>
          <w:lang w:val="en-US" w:eastAsia="zh-CN"/>
        </w:rPr>
      </w:pPr>
      <w:r>
        <w:rPr>
          <w:rFonts w:hint="default" w:asciiTheme="minorEastAsia" w:hAnsiTheme="minorEastAsia" w:eastAsiaTheme="minorEastAsia" w:cstheme="minorEastAsia"/>
          <w:szCs w:val="21"/>
          <w:lang w:val="en-US" w:eastAsia="zh-CN"/>
        </w:rPr>
        <w:t>f)国家</w:t>
      </w:r>
      <w:r>
        <w:rPr>
          <w:rFonts w:hint="eastAsia" w:asciiTheme="minorEastAsia" w:hAnsiTheme="minorEastAsia" w:eastAsiaTheme="minorEastAsia" w:cstheme="minorEastAsia"/>
          <w:szCs w:val="21"/>
          <w:lang w:val="en-US" w:eastAsia="zh-CN"/>
        </w:rPr>
        <w:t>市场</w:t>
      </w:r>
      <w:r>
        <w:rPr>
          <w:rFonts w:hint="default" w:asciiTheme="minorEastAsia" w:hAnsiTheme="minorEastAsia" w:eastAsiaTheme="minorEastAsia" w:cstheme="minorEastAsia"/>
          <w:szCs w:val="21"/>
          <w:lang w:val="en-US" w:eastAsia="zh-CN"/>
        </w:rPr>
        <w:t>监督机构提出进行型式检验要求时。</w:t>
      </w:r>
    </w:p>
    <w:p>
      <w:pPr>
        <w:spacing w:line="450" w:lineRule="exact"/>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8.1.2出厂检验</w:t>
      </w:r>
    </w:p>
    <w:p>
      <w:pPr>
        <w:spacing w:line="450" w:lineRule="exact"/>
        <w:ind w:firstLine="420" w:firstLineChars="200"/>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产品交货前应进行出厂检验，以判断提交的产品是否符合规定的质量要求。</w:t>
      </w:r>
    </w:p>
    <w:p>
      <w:pPr>
        <w:spacing w:line="450" w:lineRule="exact"/>
        <w:ind w:firstLine="420" w:firstLineChars="200"/>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出厂检验由厂质量部门执行，并出具质量合格证明文件。必要时订购方可派代表参与。</w:t>
      </w:r>
    </w:p>
    <w:p>
      <w:pPr>
        <w:spacing w:line="450" w:lineRule="exact"/>
        <w:ind w:firstLine="420" w:firstLineChars="200"/>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出厂检验是对产品部分质量特性的检验，依据本规程的技术项目依序检验。</w:t>
      </w:r>
    </w:p>
    <w:p>
      <w:pPr>
        <w:spacing w:line="450" w:lineRule="exact"/>
        <w:ind w:firstLine="420" w:firstLineChars="200"/>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出厂检验项目包括产品的外观、密度、运动粘度、闭口闪点、酸值、碘值、组分含量百分率等技术性能及技术指标的要求。</w:t>
      </w:r>
    </w:p>
    <w:p>
      <w:pPr>
        <w:spacing w:line="450" w:lineRule="exact"/>
        <w:ind w:firstLine="420" w:firstLineChars="200"/>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出厂检验应逐批检验，可以是所有的出厂检验项目都执行100%检验，如受设备和生产工艺影响较大的质量特性、对于达到预定要求至关重要的性能、基本的安全试验项目；也可以是其中一部分项目采取100%检验，而另一部分影响不太重要的项目采取抽样检验。</w:t>
      </w:r>
    </w:p>
    <w:p>
      <w:pPr>
        <w:spacing w:line="450" w:lineRule="exact"/>
        <w:outlineLvl w:val="0"/>
        <w:rPr>
          <w:rFonts w:hint="eastAsia" w:asciiTheme="minorEastAsia" w:hAnsiTheme="minorEastAsia" w:cstheme="minorEastAsia"/>
          <w:color w:val="auto"/>
          <w:szCs w:val="21"/>
          <w:lang w:val="en-US" w:eastAsia="zh-CN"/>
        </w:rPr>
      </w:pPr>
      <w:bookmarkStart w:id="19" w:name="_Toc27255"/>
      <w:bookmarkStart w:id="20" w:name="_Toc17502"/>
      <w:r>
        <w:rPr>
          <w:rFonts w:hint="eastAsia" w:asciiTheme="minorEastAsia" w:hAnsiTheme="minorEastAsia" w:cstheme="minorEastAsia"/>
          <w:color w:val="auto"/>
          <w:szCs w:val="21"/>
          <w:lang w:val="en-US" w:eastAsia="zh-CN"/>
        </w:rPr>
        <w:t>8.2产品组批和抽样规则</w:t>
      </w:r>
      <w:bookmarkEnd w:id="19"/>
      <w:bookmarkEnd w:id="20"/>
      <w:r>
        <w:rPr>
          <w:rFonts w:hint="eastAsia" w:asciiTheme="minorEastAsia" w:hAnsiTheme="minorEastAsia" w:cstheme="minorEastAsia"/>
          <w:color w:val="auto"/>
          <w:szCs w:val="21"/>
          <w:lang w:val="en-US" w:eastAsia="zh-CN"/>
        </w:rPr>
        <w:t xml:space="preserve"> </w:t>
      </w:r>
    </w:p>
    <w:p>
      <w:pPr>
        <w:spacing w:line="450" w:lineRule="exact"/>
        <w:rPr>
          <w:rFonts w:hint="eastAsia" w:asciiTheme="minorEastAsia" w:hAnsiTheme="minorEastAsia" w:cstheme="minorEastAsia"/>
          <w:color w:val="auto"/>
          <w:szCs w:val="21"/>
          <w:lang w:val="en-US" w:eastAsia="zh-CN"/>
        </w:rPr>
      </w:pPr>
      <w:r>
        <w:rPr>
          <w:rFonts w:hint="eastAsia" w:asciiTheme="minorEastAsia" w:hAnsiTheme="minorEastAsia" w:cstheme="minorEastAsia"/>
          <w:color w:val="auto"/>
          <w:szCs w:val="21"/>
          <w:lang w:val="en-US" w:eastAsia="zh-CN"/>
        </w:rPr>
        <w:t>8.2.1组批</w:t>
      </w:r>
    </w:p>
    <w:p>
      <w:pPr>
        <w:spacing w:line="450" w:lineRule="exact"/>
        <w:ind w:firstLine="420" w:firstLineChars="200"/>
        <w:rPr>
          <w:rFonts w:hint="eastAsia" w:asciiTheme="minorEastAsia" w:hAnsiTheme="minorEastAsia" w:cstheme="minorEastAsia"/>
          <w:color w:val="auto"/>
          <w:szCs w:val="21"/>
          <w:lang w:val="en-US" w:eastAsia="zh-CN"/>
        </w:rPr>
      </w:pPr>
      <w:r>
        <w:rPr>
          <w:rFonts w:hint="eastAsia" w:asciiTheme="minorEastAsia" w:hAnsiTheme="minorEastAsia" w:cstheme="minorEastAsia"/>
          <w:color w:val="auto"/>
          <w:szCs w:val="21"/>
          <w:lang w:val="en-US" w:eastAsia="zh-CN"/>
        </w:rPr>
        <w:t>产品按批交付和抽样验收，由一次交付的同一类型、同一规格、同一批号的产品组成一批交付。</w:t>
      </w:r>
    </w:p>
    <w:p>
      <w:pPr>
        <w:spacing w:line="44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产品应由生产厂的质量检验部门进行检验，生产厂应保证每一批出厂的产品都符合本文件要求。</w:t>
      </w:r>
    </w:p>
    <w:p>
      <w:pPr>
        <w:spacing w:line="44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每一批出厂的</w:t>
      </w:r>
      <w:r>
        <w:rPr>
          <w:rFonts w:hint="eastAsia" w:asciiTheme="minorEastAsia" w:hAnsiTheme="minorEastAsia" w:cstheme="minorEastAsia"/>
          <w:color w:val="auto"/>
          <w:szCs w:val="21"/>
          <w:lang w:val="en-US" w:eastAsia="zh-CN"/>
        </w:rPr>
        <w:t>产品</w:t>
      </w:r>
      <w:r>
        <w:rPr>
          <w:rFonts w:hint="eastAsia" w:asciiTheme="minorEastAsia" w:hAnsiTheme="minorEastAsia" w:eastAsiaTheme="minorEastAsia" w:cstheme="minorEastAsia"/>
          <w:color w:val="auto"/>
          <w:szCs w:val="21"/>
        </w:rPr>
        <w:t>都应附有一定格式的质量证明书。内容包括:生产厂名称、产品名称、批号、生产日期、产品质量等级和本产品标准编号。</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用槽车装的</w:t>
      </w:r>
      <w:r>
        <w:rPr>
          <w:rFonts w:hint="eastAsia" w:asciiTheme="minorEastAsia" w:hAnsiTheme="minorEastAsia" w:cstheme="minorEastAsia"/>
          <w:szCs w:val="21"/>
          <w:lang w:val="en-US" w:eastAsia="zh-CN"/>
        </w:rPr>
        <w:t>产品</w:t>
      </w:r>
      <w:r>
        <w:rPr>
          <w:rFonts w:hint="eastAsia" w:asciiTheme="minorEastAsia" w:hAnsiTheme="minorEastAsia" w:eastAsiaTheme="minorEastAsia" w:cstheme="minorEastAsia"/>
          <w:szCs w:val="21"/>
        </w:rPr>
        <w:t>，以每一槽车为一批，用采样器在上、中、下三层采取平均样品，桶装生物浮选剂按每一成品贮罐为一批,采样数量按GB/T 6678中表1的要求进行，采样方法按GB/T 6680中第4、6、7条进行。</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和使用单位在对产品进行控制分析时，如果有项指标不符合本文件要求时，槽车装产品应重新采取二倍的样品，桶装产品应重新从二倍数的包装中采样进行控制分析。所得结果有一项指标不符合本文件要求，则整批产品为不合格。</w:t>
      </w:r>
    </w:p>
    <w:p>
      <w:pPr>
        <w:spacing w:line="440" w:lineRule="exact"/>
        <w:ind w:firstLine="420" w:firstLineChars="200"/>
        <w:rPr>
          <w:rFonts w:hint="default" w:asciiTheme="minorEastAsia" w:hAnsiTheme="minorEastAsia" w:cstheme="minorEastAsia"/>
          <w:szCs w:val="21"/>
          <w:lang w:val="en-US" w:eastAsia="zh-CN"/>
        </w:rPr>
      </w:pPr>
      <w:r>
        <w:rPr>
          <w:rFonts w:hint="eastAsia" w:asciiTheme="minorEastAsia" w:hAnsiTheme="minorEastAsia" w:eastAsiaTheme="minorEastAsia" w:cstheme="minorEastAsia"/>
          <w:szCs w:val="21"/>
        </w:rPr>
        <w:t>使用单位有权</w:t>
      </w:r>
      <w:r>
        <w:rPr>
          <w:rFonts w:hint="eastAsia" w:asciiTheme="minorEastAsia" w:hAnsiTheme="minorEastAsia" w:cstheme="minorEastAsia"/>
          <w:szCs w:val="21"/>
          <w:lang w:val="en-US" w:eastAsia="zh-CN"/>
        </w:rPr>
        <w:t>凭质量证明书或相关合同验收，</w:t>
      </w:r>
      <w:r>
        <w:rPr>
          <w:rFonts w:hint="eastAsia" w:asciiTheme="minorEastAsia" w:hAnsiTheme="minorEastAsia" w:eastAsiaTheme="minorEastAsia" w:cstheme="minorEastAsia"/>
          <w:szCs w:val="21"/>
        </w:rPr>
        <w:t>按照本文件规定</w:t>
      </w:r>
      <w:r>
        <w:rPr>
          <w:rFonts w:hint="eastAsia" w:asciiTheme="minorEastAsia" w:hAnsiTheme="minorEastAsia" w:cstheme="minorEastAsia"/>
          <w:szCs w:val="21"/>
          <w:lang w:val="en-US" w:eastAsia="zh-CN"/>
        </w:rPr>
        <w:t>内容</w:t>
      </w:r>
      <w:r>
        <w:rPr>
          <w:rFonts w:hint="eastAsia" w:asciiTheme="minorEastAsia" w:hAnsiTheme="minorEastAsia" w:eastAsiaTheme="minorEastAsia" w:cstheme="minorEastAsia"/>
          <w:szCs w:val="21"/>
        </w:rPr>
        <w:t>对所收到的产品的质量进行复验</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必要时收货方可按下述抽样规定在一个月内验收或仲裁。</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当供需双方对产品质量发生争议时，应由双方协商解决，或者按照《全国产品质量仲裁检验暂行办法》的规定进行仲裁。</w:t>
      </w:r>
    </w:p>
    <w:p>
      <w:pPr>
        <w:spacing w:line="450" w:lineRule="exact"/>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8.2.2抽样</w:t>
      </w:r>
    </w:p>
    <w:p>
      <w:pPr>
        <w:spacing w:line="45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szCs w:val="21"/>
        </w:rPr>
        <w:t>采样频次和采样时间按GB/T 6678和GB/T 6680</w:t>
      </w:r>
      <w:r>
        <w:rPr>
          <w:rFonts w:hint="eastAsia" w:asciiTheme="minorEastAsia" w:hAnsiTheme="minorEastAsia" w:eastAsiaTheme="minorEastAsia" w:cstheme="minorEastAsia"/>
          <w:color w:val="auto"/>
          <w:szCs w:val="21"/>
        </w:rPr>
        <w:t>采样。</w:t>
      </w:r>
    </w:p>
    <w:p>
      <w:pPr>
        <w:spacing w:line="450" w:lineRule="exact"/>
        <w:ind w:firstLine="420" w:firstLineChars="200"/>
        <w:rPr>
          <w:rFonts w:hint="eastAsia" w:asciiTheme="minorEastAsia" w:hAnsiTheme="minorEastAsia" w:cstheme="minorEastAsia"/>
          <w:color w:val="auto"/>
          <w:szCs w:val="21"/>
          <w:lang w:eastAsia="zh-CN"/>
        </w:rPr>
      </w:pPr>
      <w:r>
        <w:rPr>
          <w:rFonts w:hint="eastAsia" w:asciiTheme="minorEastAsia" w:hAnsiTheme="minorEastAsia" w:eastAsiaTheme="minorEastAsia" w:cstheme="minorEastAsia"/>
          <w:color w:val="auto"/>
          <w:szCs w:val="21"/>
        </w:rPr>
        <w:t>采样方法</w:t>
      </w:r>
      <w:r>
        <w:rPr>
          <w:rFonts w:hint="eastAsia" w:asciiTheme="minorEastAsia" w:hAnsiTheme="minorEastAsia" w:cstheme="minorEastAsia"/>
          <w:color w:val="auto"/>
          <w:szCs w:val="21"/>
          <w:lang w:eastAsia="zh-CN"/>
        </w:rPr>
        <w:t>：</w:t>
      </w:r>
    </w:p>
    <w:p>
      <w:pPr>
        <w:spacing w:line="45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cstheme="minorEastAsia"/>
          <w:color w:val="auto"/>
          <w:szCs w:val="21"/>
          <w:lang w:eastAsia="zh-CN"/>
        </w:rPr>
        <w:t>原材料采样方法：</w:t>
      </w:r>
      <w:r>
        <w:rPr>
          <w:rFonts w:hint="eastAsia" w:asciiTheme="minorEastAsia" w:hAnsiTheme="minorEastAsia" w:eastAsiaTheme="minorEastAsia" w:cstheme="minorEastAsia"/>
          <w:color w:val="auto"/>
          <w:szCs w:val="21"/>
        </w:rPr>
        <w:t>采样位</w:t>
      </w:r>
      <w:r>
        <w:rPr>
          <w:rFonts w:hint="eastAsia" w:asciiTheme="minorEastAsia" w:hAnsiTheme="minorEastAsia" w:cstheme="minorEastAsia"/>
          <w:color w:val="auto"/>
          <w:szCs w:val="21"/>
          <w:lang w:eastAsia="zh-CN"/>
        </w:rPr>
        <w:t>点应在</w:t>
      </w:r>
      <w:r>
        <w:rPr>
          <w:rFonts w:hint="eastAsia" w:asciiTheme="minorEastAsia" w:hAnsiTheme="minorEastAsia" w:eastAsiaTheme="minorEastAsia" w:cstheme="minorEastAsia"/>
          <w:color w:val="auto"/>
          <w:szCs w:val="21"/>
        </w:rPr>
        <w:t>原料库</w:t>
      </w:r>
      <w:r>
        <w:rPr>
          <w:rFonts w:hint="eastAsia" w:asciiTheme="minorEastAsia" w:hAnsiTheme="minorEastAsia" w:cstheme="minorEastAsia"/>
          <w:color w:val="auto"/>
          <w:szCs w:val="21"/>
          <w:lang w:eastAsia="zh-CN"/>
        </w:rPr>
        <w:t>。</w:t>
      </w:r>
      <w:r>
        <w:rPr>
          <w:rFonts w:hint="eastAsia" w:asciiTheme="minorEastAsia" w:hAnsiTheme="minorEastAsia" w:eastAsiaTheme="minorEastAsia" w:cstheme="minorEastAsia"/>
          <w:color w:val="auto"/>
          <w:szCs w:val="21"/>
        </w:rPr>
        <w:t xml:space="preserve">采样按GB/T </w:t>
      </w:r>
      <w:r>
        <w:rPr>
          <w:rFonts w:hint="eastAsia" w:asciiTheme="minorEastAsia" w:hAnsiTheme="minorEastAsia" w:cstheme="minorEastAsia"/>
          <w:color w:val="auto"/>
          <w:szCs w:val="21"/>
          <w:lang w:val="en-US" w:eastAsia="zh-CN"/>
        </w:rPr>
        <w:t>4756</w:t>
      </w:r>
      <w:r>
        <w:rPr>
          <w:rFonts w:hint="eastAsia" w:asciiTheme="minorEastAsia" w:hAnsiTheme="minorEastAsia" w:eastAsiaTheme="minorEastAsia" w:cstheme="minorEastAsia"/>
          <w:color w:val="auto"/>
          <w:szCs w:val="21"/>
        </w:rPr>
        <w:t>和GB/T 6680</w:t>
      </w:r>
      <w:r>
        <w:rPr>
          <w:rFonts w:hint="eastAsia" w:asciiTheme="minorEastAsia" w:hAnsiTheme="minorEastAsia" w:cstheme="minorEastAsia"/>
          <w:color w:val="auto"/>
          <w:szCs w:val="21"/>
          <w:lang w:val="en-US" w:eastAsia="zh-CN"/>
        </w:rPr>
        <w:t>进行</w:t>
      </w:r>
      <w:r>
        <w:rPr>
          <w:rFonts w:hint="eastAsia" w:asciiTheme="minorEastAsia" w:hAnsiTheme="minorEastAsia" w:eastAsiaTheme="minorEastAsia" w:cstheme="minorEastAsia"/>
          <w:color w:val="auto"/>
          <w:szCs w:val="21"/>
        </w:rPr>
        <w:t>。</w:t>
      </w:r>
    </w:p>
    <w:p>
      <w:pPr>
        <w:spacing w:line="450" w:lineRule="exact"/>
        <w:ind w:firstLine="420" w:firstLineChars="200"/>
        <w:rPr>
          <w:rFonts w:hint="eastAsia" w:asciiTheme="minorEastAsia" w:hAnsiTheme="minorEastAsia" w:eastAsiaTheme="minorEastAsia" w:cstheme="minorEastAsia"/>
          <w:color w:val="auto"/>
          <w:szCs w:val="21"/>
          <w:lang w:eastAsia="zh-CN"/>
        </w:rPr>
      </w:pPr>
      <w:r>
        <w:rPr>
          <w:rFonts w:hint="eastAsia" w:asciiTheme="minorEastAsia" w:hAnsiTheme="minorEastAsia" w:cstheme="minorEastAsia"/>
          <w:color w:val="auto"/>
          <w:szCs w:val="21"/>
          <w:lang w:eastAsia="zh-CN"/>
        </w:rPr>
        <w:t>半成品采样方法：</w:t>
      </w:r>
      <w:r>
        <w:rPr>
          <w:rFonts w:hint="eastAsia" w:asciiTheme="minorEastAsia" w:hAnsiTheme="minorEastAsia" w:eastAsiaTheme="minorEastAsia" w:cstheme="minorEastAsia"/>
          <w:color w:val="auto"/>
          <w:szCs w:val="21"/>
        </w:rPr>
        <w:t>采样位</w:t>
      </w:r>
      <w:r>
        <w:rPr>
          <w:rFonts w:hint="eastAsia" w:asciiTheme="minorEastAsia" w:hAnsiTheme="minorEastAsia" w:cstheme="minorEastAsia"/>
          <w:color w:val="auto"/>
          <w:szCs w:val="21"/>
          <w:lang w:eastAsia="zh-CN"/>
        </w:rPr>
        <w:t>点应在</w:t>
      </w:r>
      <w:r>
        <w:rPr>
          <w:rFonts w:hint="eastAsia" w:asciiTheme="minorEastAsia" w:hAnsiTheme="minorEastAsia" w:cstheme="minorEastAsia"/>
          <w:color w:val="auto"/>
          <w:szCs w:val="21"/>
          <w:lang w:val="en-US" w:eastAsia="zh-CN"/>
        </w:rPr>
        <w:t>待检区</w:t>
      </w:r>
      <w:r>
        <w:rPr>
          <w:rFonts w:hint="eastAsia" w:asciiTheme="minorEastAsia" w:hAnsiTheme="minorEastAsia" w:cstheme="minorEastAsia"/>
          <w:color w:val="auto"/>
          <w:szCs w:val="21"/>
          <w:lang w:eastAsia="zh-CN"/>
        </w:rPr>
        <w:t xml:space="preserve">。采样按GB/T </w:t>
      </w:r>
      <w:r>
        <w:rPr>
          <w:rFonts w:hint="eastAsia" w:asciiTheme="minorEastAsia" w:hAnsiTheme="minorEastAsia" w:cstheme="minorEastAsia"/>
          <w:color w:val="auto"/>
          <w:szCs w:val="21"/>
          <w:lang w:val="en-US" w:eastAsia="zh-CN"/>
        </w:rPr>
        <w:t>4756进行</w:t>
      </w:r>
      <w:r>
        <w:rPr>
          <w:rFonts w:hint="eastAsia" w:asciiTheme="minorEastAsia" w:hAnsiTheme="minorEastAsia" w:cstheme="minorEastAsia"/>
          <w:color w:val="auto"/>
          <w:szCs w:val="21"/>
          <w:lang w:eastAsia="zh-CN"/>
        </w:rPr>
        <w:t>。</w:t>
      </w:r>
    </w:p>
    <w:p>
      <w:pPr>
        <w:spacing w:line="45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cstheme="minorEastAsia"/>
          <w:color w:val="auto"/>
          <w:szCs w:val="21"/>
          <w:lang w:eastAsia="zh-CN"/>
        </w:rPr>
        <w:t>成品采样方法：</w:t>
      </w:r>
      <w:r>
        <w:rPr>
          <w:rFonts w:hint="eastAsia" w:asciiTheme="minorEastAsia" w:hAnsiTheme="minorEastAsia" w:eastAsiaTheme="minorEastAsia" w:cstheme="minorEastAsia"/>
          <w:color w:val="auto"/>
          <w:szCs w:val="21"/>
        </w:rPr>
        <w:t>采样点位</w:t>
      </w:r>
      <w:r>
        <w:rPr>
          <w:rFonts w:hint="eastAsia" w:asciiTheme="minorEastAsia" w:hAnsiTheme="minorEastAsia" w:cstheme="minorEastAsia"/>
          <w:color w:val="auto"/>
          <w:szCs w:val="21"/>
          <w:lang w:eastAsia="zh-CN"/>
        </w:rPr>
        <w:t>点应在</w:t>
      </w:r>
      <w:r>
        <w:rPr>
          <w:rFonts w:hint="eastAsia" w:asciiTheme="minorEastAsia" w:hAnsiTheme="minorEastAsia" w:eastAsiaTheme="minorEastAsia" w:cstheme="minorEastAsia"/>
          <w:color w:val="auto"/>
          <w:szCs w:val="21"/>
        </w:rPr>
        <w:t>成品库</w:t>
      </w:r>
      <w:r>
        <w:rPr>
          <w:rFonts w:hint="eastAsia" w:asciiTheme="minorEastAsia" w:hAnsiTheme="minorEastAsia" w:cstheme="minorEastAsia"/>
          <w:color w:val="auto"/>
          <w:szCs w:val="21"/>
          <w:lang w:eastAsia="zh-CN"/>
        </w:rPr>
        <w:t>。</w:t>
      </w:r>
      <w:r>
        <w:rPr>
          <w:rFonts w:hint="eastAsia" w:asciiTheme="minorEastAsia" w:hAnsiTheme="minorEastAsia" w:cstheme="minorEastAsia"/>
          <w:color w:val="auto"/>
          <w:szCs w:val="21"/>
          <w:lang w:val="en-US" w:eastAsia="zh-CN"/>
        </w:rPr>
        <w:t>出厂检验</w:t>
      </w:r>
      <w:r>
        <w:rPr>
          <w:rFonts w:hint="eastAsia" w:asciiTheme="minorEastAsia" w:hAnsiTheme="minorEastAsia" w:eastAsiaTheme="minorEastAsia" w:cstheme="minorEastAsia"/>
          <w:color w:val="auto"/>
          <w:szCs w:val="21"/>
        </w:rPr>
        <w:t>所采样品总量不得少于</w:t>
      </w:r>
      <w:r>
        <w:rPr>
          <w:rFonts w:hint="eastAsia" w:asciiTheme="minorEastAsia" w:hAnsiTheme="minorEastAsia" w:cstheme="minorEastAsia"/>
          <w:color w:val="auto"/>
          <w:szCs w:val="21"/>
          <w:lang w:val="en-US" w:eastAsia="zh-CN"/>
        </w:rPr>
        <w:t>所有检测项目检验量的3倍，即</w:t>
      </w:r>
      <w:r>
        <w:rPr>
          <w:rFonts w:hint="eastAsia" w:asciiTheme="minorEastAsia" w:hAnsiTheme="minorEastAsia" w:eastAsiaTheme="minorEastAsia" w:cstheme="minorEastAsia"/>
          <w:color w:val="auto"/>
          <w:szCs w:val="21"/>
        </w:rPr>
        <w:t>1.5L,将样品充分混匀后，分装于两个清洁干燥、带有塞盖的透明瓶中，粘上标签并注明生</w:t>
      </w:r>
      <w:r>
        <w:rPr>
          <w:rFonts w:hint="eastAsia" w:asciiTheme="minorEastAsia" w:hAnsiTheme="minorEastAsia" w:eastAsiaTheme="minorEastAsia" w:cstheme="minorEastAsia"/>
          <w:szCs w:val="21"/>
        </w:rPr>
        <w:t>产厂名称、产品名称、批号、采样日期和采样者，一瓶作为质量控制分析，一瓶密封保留一个月以备查验，并留样500m</w:t>
      </w:r>
      <w:r>
        <w:rPr>
          <w:rFonts w:hint="eastAsia" w:asciiTheme="minorEastAsia" w:hAnsiTheme="minorEastAsia" w:cstheme="minorEastAsia"/>
          <w:szCs w:val="21"/>
        </w:rPr>
        <w:t>L</w:t>
      </w:r>
      <w:r>
        <w:rPr>
          <w:rFonts w:hint="eastAsia" w:asciiTheme="minorEastAsia" w:hAnsiTheme="minorEastAsia" w:eastAsiaTheme="minorEastAsia" w:cstheme="minorEastAsia"/>
          <w:szCs w:val="21"/>
        </w:rPr>
        <w:t>。</w:t>
      </w:r>
    </w:p>
    <w:p>
      <w:pPr>
        <w:spacing w:line="450" w:lineRule="exact"/>
        <w:ind w:firstLine="420" w:firstLineChars="200"/>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型式检验的样本应从生产并经出厂检验合格的某个批或若干批中，按简单随机抽样法抽取。</w:t>
      </w:r>
    </w:p>
    <w:p>
      <w:pPr>
        <w:spacing w:line="450" w:lineRule="exact"/>
        <w:ind w:firstLine="420" w:firstLineChars="200"/>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收货方验收、仲裁检验所需的样品，应根据产品批量大小确定样本大小，交收双方会同在交货地点从交付批中随机抽取样本包装</w:t>
      </w:r>
    </w:p>
    <w:p>
      <w:pPr>
        <w:spacing w:line="450" w:lineRule="exact"/>
        <w:outlineLvl w:val="0"/>
        <w:rPr>
          <w:rFonts w:hint="default" w:asciiTheme="minorEastAsia" w:hAnsiTheme="minorEastAsia" w:cstheme="minorEastAsia"/>
          <w:szCs w:val="21"/>
          <w:lang w:val="en-US" w:eastAsia="zh-CN"/>
        </w:rPr>
      </w:pPr>
      <w:bookmarkStart w:id="21" w:name="_Toc16628"/>
      <w:bookmarkStart w:id="22" w:name="_Toc9530"/>
      <w:r>
        <w:rPr>
          <w:rFonts w:hint="eastAsia" w:asciiTheme="minorEastAsia" w:hAnsiTheme="minorEastAsia" w:cstheme="minorEastAsia"/>
          <w:szCs w:val="21"/>
          <w:lang w:val="en-US" w:eastAsia="zh-CN"/>
        </w:rPr>
        <w:t>8.3判定规则</w:t>
      </w:r>
      <w:bookmarkEnd w:id="21"/>
      <w:bookmarkEnd w:id="22"/>
      <w:r>
        <w:rPr>
          <w:rFonts w:hint="eastAsia" w:asciiTheme="minorEastAsia" w:hAnsiTheme="minorEastAsia" w:cstheme="minorEastAsia"/>
          <w:szCs w:val="21"/>
          <w:lang w:val="en-US" w:eastAsia="zh-CN"/>
        </w:rPr>
        <w:t xml:space="preserve"> </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判定分析数据是否符合文件规定的质量控制指标</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按GB1250修约值比较法进行，修约按GB8170进行。</w:t>
      </w:r>
    </w:p>
    <w:p>
      <w:pPr>
        <w:spacing w:line="440" w:lineRule="exact"/>
        <w:ind w:firstLine="420" w:firstLineChars="200"/>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检验结果如有一项不合格，可重新采样，对不合格项进行复检，复检结果仍不合格，则判定该批结果不合格。</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如用户对单元浮选试验有要求时，按GB4757方法进行测试，指标由供需双方协商确定。</w:t>
      </w:r>
    </w:p>
    <w:p>
      <w:pPr>
        <w:spacing w:line="450" w:lineRule="exact"/>
        <w:ind w:firstLine="420" w:firstLineChars="200"/>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交收双方因检验结果不同，如不能达成协议时，可商请仲裁检验，以仲裁结果为最后依据。</w:t>
      </w:r>
    </w:p>
    <w:bookmarkEnd w:id="16"/>
    <w:p>
      <w:pPr>
        <w:spacing w:line="500" w:lineRule="exact"/>
        <w:rPr>
          <w:rFonts w:hint="eastAsia" w:ascii="黑体" w:hAnsi="黑体" w:eastAsia="黑体" w:cs="黑体"/>
          <w:bCs/>
          <w:szCs w:val="21"/>
        </w:rPr>
      </w:pPr>
      <w:r>
        <w:rPr>
          <w:rFonts w:hint="eastAsia" w:ascii="黑体" w:hAnsi="黑体" w:eastAsia="黑体" w:cs="黑体"/>
          <w:bCs/>
          <w:szCs w:val="21"/>
          <w:lang w:val="en-US" w:eastAsia="zh-CN"/>
        </w:rPr>
        <w:t>9</w:t>
      </w:r>
      <w:r>
        <w:rPr>
          <w:rFonts w:hint="eastAsia" w:ascii="黑体" w:hAnsi="黑体" w:eastAsia="黑体" w:cs="黑体"/>
          <w:bCs/>
          <w:szCs w:val="21"/>
        </w:rPr>
        <w:t>标志、包装、运输和贮存</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9</w:t>
      </w:r>
      <w:r>
        <w:rPr>
          <w:rFonts w:hint="eastAsia" w:asciiTheme="minorEastAsia" w:hAnsiTheme="minorEastAsia" w:eastAsiaTheme="minorEastAsia" w:cstheme="minorEastAsia"/>
          <w:szCs w:val="21"/>
        </w:rPr>
        <w:t>.1 在生物浮选剂产品包装容器上，应涂刷牢固的标志，其内容包括产品名称、本标准编号、质量等级、商标、生产厂名称、批号、净重量和GB 191中图4、图6 “怕晒”“怕雨”标志。</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9</w:t>
      </w:r>
      <w:r>
        <w:rPr>
          <w:rFonts w:hint="eastAsia" w:asciiTheme="minorEastAsia" w:hAnsiTheme="minorEastAsia" w:eastAsiaTheme="minorEastAsia" w:cstheme="minorEastAsia"/>
          <w:szCs w:val="21"/>
        </w:rPr>
        <w:t>.2 生物浮选剂应用清洁的槽车及牢固的铁桶包装，每桶净重量180kg。</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9</w:t>
      </w:r>
      <w:r>
        <w:rPr>
          <w:rFonts w:hint="eastAsia" w:asciiTheme="minorEastAsia" w:hAnsiTheme="minorEastAsia" w:eastAsiaTheme="minorEastAsia" w:cstheme="minorEastAsia"/>
          <w:szCs w:val="21"/>
        </w:rPr>
        <w:t>.3装卸及运输时应防止猛烈撞击。</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9</w:t>
      </w:r>
      <w:r>
        <w:rPr>
          <w:rFonts w:hint="eastAsia" w:asciiTheme="minorEastAsia" w:hAnsiTheme="minorEastAsia" w:eastAsiaTheme="minorEastAsia" w:cstheme="minorEastAsia"/>
          <w:szCs w:val="21"/>
        </w:rPr>
        <w:t>.4 生物浮选剂产品应贮存在阴凉，干燥的仓库内，防止暴晒和雨淋，避免与明火接触。</w:t>
      </w:r>
    </w:p>
    <w:p>
      <w:pPr>
        <w:spacing w:line="500" w:lineRule="exact"/>
        <w:rPr>
          <w:rFonts w:ascii="宋体" w:hAnsi="宋体"/>
          <w:szCs w:val="21"/>
        </w:rPr>
      </w:pPr>
    </w:p>
    <w:p>
      <w:pPr>
        <w:spacing w:line="500" w:lineRule="exact"/>
        <w:jc w:val="center"/>
        <w:outlineLvl w:val="0"/>
        <w:rPr>
          <w:rFonts w:hint="eastAsia" w:ascii="黑体" w:hAnsi="黑体" w:eastAsia="黑体" w:cs="黑体"/>
          <w:szCs w:val="21"/>
          <w:lang w:val="en-US" w:eastAsia="zh-CN"/>
        </w:rPr>
      </w:pPr>
      <w:bookmarkStart w:id="23" w:name="_Toc7040"/>
      <w:bookmarkStart w:id="24" w:name="_Toc12911"/>
    </w:p>
    <w:p>
      <w:pPr>
        <w:spacing w:line="500" w:lineRule="exact"/>
        <w:jc w:val="center"/>
        <w:outlineLvl w:val="0"/>
        <w:rPr>
          <w:rFonts w:hint="eastAsia" w:ascii="黑体" w:hAnsi="黑体" w:eastAsia="黑体" w:cs="黑体"/>
          <w:szCs w:val="21"/>
          <w:lang w:val="en-US" w:eastAsia="zh-CN"/>
        </w:rPr>
      </w:pPr>
    </w:p>
    <w:p>
      <w:pPr>
        <w:spacing w:line="500" w:lineRule="exact"/>
        <w:jc w:val="center"/>
        <w:outlineLvl w:val="0"/>
        <w:rPr>
          <w:rFonts w:hint="eastAsia" w:ascii="黑体" w:hAnsi="黑体" w:eastAsia="黑体" w:cs="黑体"/>
          <w:szCs w:val="21"/>
          <w:lang w:val="en-US" w:eastAsia="zh-CN"/>
        </w:rPr>
      </w:pPr>
    </w:p>
    <w:p>
      <w:pPr>
        <w:spacing w:line="500" w:lineRule="exact"/>
        <w:jc w:val="center"/>
        <w:outlineLvl w:val="0"/>
        <w:rPr>
          <w:rFonts w:hint="eastAsia" w:ascii="黑体" w:hAnsi="黑体" w:eastAsia="黑体" w:cs="黑体"/>
          <w:szCs w:val="21"/>
          <w:lang w:val="en-US" w:eastAsia="zh-CN"/>
        </w:rPr>
      </w:pPr>
    </w:p>
    <w:p>
      <w:pPr>
        <w:spacing w:line="500" w:lineRule="exact"/>
        <w:jc w:val="center"/>
        <w:outlineLvl w:val="0"/>
        <w:rPr>
          <w:rFonts w:hint="eastAsia" w:ascii="黑体" w:hAnsi="黑体" w:eastAsia="黑体" w:cs="黑体"/>
          <w:szCs w:val="21"/>
          <w:lang w:val="en-US" w:eastAsia="zh-CN"/>
        </w:rPr>
      </w:pPr>
    </w:p>
    <w:p>
      <w:pPr>
        <w:spacing w:line="500" w:lineRule="exact"/>
        <w:jc w:val="center"/>
        <w:outlineLvl w:val="0"/>
        <w:rPr>
          <w:rFonts w:hint="eastAsia" w:ascii="黑体" w:hAnsi="黑体" w:eastAsia="黑体" w:cs="黑体"/>
          <w:szCs w:val="21"/>
          <w:lang w:val="en-US" w:eastAsia="zh-CN"/>
        </w:rPr>
      </w:pPr>
    </w:p>
    <w:p>
      <w:pPr>
        <w:spacing w:line="500" w:lineRule="exact"/>
        <w:jc w:val="center"/>
        <w:outlineLvl w:val="0"/>
        <w:rPr>
          <w:rFonts w:hint="eastAsia" w:ascii="黑体" w:hAnsi="黑体" w:eastAsia="黑体" w:cs="黑体"/>
          <w:szCs w:val="21"/>
          <w:lang w:val="en-US" w:eastAsia="zh-CN"/>
        </w:rPr>
      </w:pPr>
    </w:p>
    <w:p>
      <w:pPr>
        <w:spacing w:line="500" w:lineRule="exact"/>
        <w:jc w:val="center"/>
        <w:outlineLvl w:val="0"/>
        <w:rPr>
          <w:rFonts w:hint="eastAsia" w:ascii="黑体" w:hAnsi="黑体" w:eastAsia="黑体" w:cs="黑体"/>
          <w:szCs w:val="21"/>
          <w:lang w:val="en-US" w:eastAsia="zh-CN"/>
        </w:rPr>
      </w:pPr>
      <w:r>
        <w:rPr>
          <w:rFonts w:hint="eastAsia" w:ascii="黑体" w:hAnsi="黑体" w:eastAsia="黑体" w:cs="黑体"/>
          <w:szCs w:val="21"/>
          <w:lang w:val="en-US" w:eastAsia="zh-CN"/>
        </w:rPr>
        <w:t>附录A</w:t>
      </w:r>
      <w:bookmarkEnd w:id="23"/>
      <w:bookmarkEnd w:id="24"/>
    </w:p>
    <w:p>
      <w:pPr>
        <w:spacing w:line="500" w:lineRule="exact"/>
        <w:jc w:val="center"/>
        <w:rPr>
          <w:rFonts w:hint="eastAsia" w:ascii="黑体" w:hAnsi="黑体" w:eastAsia="黑体" w:cs="黑体"/>
          <w:szCs w:val="21"/>
          <w:lang w:val="en-US" w:eastAsia="zh-CN"/>
        </w:rPr>
      </w:pPr>
      <w:r>
        <w:rPr>
          <w:rFonts w:hint="eastAsia" w:ascii="黑体" w:hAnsi="黑体" w:eastAsia="黑体" w:cs="黑体"/>
          <w:szCs w:val="21"/>
          <w:lang w:val="en-US" w:eastAsia="zh-CN"/>
        </w:rPr>
        <w:t>（资料性</w:t>
      </w:r>
      <w:r>
        <w:rPr>
          <w:rFonts w:hint="eastAsia" w:ascii="黑体" w:hAnsi="黑体" w:eastAsia="黑体" w:cs="黑体"/>
          <w:szCs w:val="21"/>
          <w:lang w:eastAsia="zh-CN"/>
        </w:rPr>
        <w:t>附录</w:t>
      </w:r>
      <w:r>
        <w:rPr>
          <w:rFonts w:hint="eastAsia" w:ascii="黑体" w:hAnsi="黑体" w:eastAsia="黑体" w:cs="黑体"/>
          <w:szCs w:val="21"/>
          <w:lang w:val="en-US" w:eastAsia="zh-CN"/>
        </w:rPr>
        <w:t>）</w:t>
      </w:r>
    </w:p>
    <w:p>
      <w:pPr>
        <w:spacing w:line="500" w:lineRule="exact"/>
        <w:jc w:val="center"/>
        <w:rPr>
          <w:rFonts w:hint="eastAsia" w:ascii="黑体" w:hAnsi="黑体" w:eastAsia="黑体" w:cs="黑体"/>
          <w:szCs w:val="21"/>
          <w:lang w:val="en-US" w:eastAsia="zh-CN"/>
        </w:rPr>
      </w:pPr>
      <w:r>
        <w:rPr>
          <w:rFonts w:hint="eastAsia" w:ascii="黑体" w:hAnsi="黑体" w:eastAsia="黑体" w:cs="黑体"/>
          <w:szCs w:val="21"/>
          <w:lang w:val="en-US" w:eastAsia="zh-CN"/>
        </w:rPr>
        <w:t>废油脂转化生物浮选剂  酸值的测定</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A</w:t>
      </w:r>
      <w:r>
        <w:rPr>
          <w:rFonts w:hint="eastAsia" w:asciiTheme="minorEastAsia" w:hAnsiTheme="minorEastAsia" w:eastAsiaTheme="minorEastAsia" w:cstheme="minorEastAsia"/>
          <w:szCs w:val="21"/>
        </w:rPr>
        <w:t>.1方法原理</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用有机溶剂将油脂试样溶解成样品溶液，再用氢氧化钾乙醇标准滴定液中和滴定样品溶液中的游离脂肪酸，以指示相应的颜色变化或突跃点。</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A</w:t>
      </w:r>
      <w:r>
        <w:rPr>
          <w:rFonts w:hint="eastAsia" w:asciiTheme="minorEastAsia" w:hAnsiTheme="minorEastAsia" w:eastAsiaTheme="minorEastAsia" w:cstheme="minorEastAsia"/>
          <w:szCs w:val="21"/>
        </w:rPr>
        <w:t>.2试剂和溶液</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A</w:t>
      </w:r>
      <w:r>
        <w:rPr>
          <w:rFonts w:hint="eastAsia" w:asciiTheme="minorEastAsia" w:hAnsiTheme="minorEastAsia" w:eastAsiaTheme="minorEastAsia" w:cstheme="minorEastAsia"/>
          <w:szCs w:val="21"/>
        </w:rPr>
        <w:t>.2.1异丙醇（分析纯）</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A</w:t>
      </w:r>
      <w:r>
        <w:rPr>
          <w:rFonts w:hint="eastAsia" w:asciiTheme="minorEastAsia" w:hAnsiTheme="minorEastAsia" w:eastAsiaTheme="minorEastAsia" w:cstheme="minorEastAsia"/>
          <w:szCs w:val="21"/>
        </w:rPr>
        <w:t>.2.2石油醚（60～90℃）（分析纯）</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A</w:t>
      </w:r>
      <w:r>
        <w:rPr>
          <w:rFonts w:hint="eastAsia" w:asciiTheme="minorEastAsia" w:hAnsiTheme="minorEastAsia" w:eastAsiaTheme="minorEastAsia" w:cstheme="minorEastAsia"/>
          <w:szCs w:val="21"/>
        </w:rPr>
        <w:t>.2.3石油醚（60～90℃）－异丙醇混合溶液（1：1）</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量取250ml石油醚（60～90℃）放入500m</w:t>
      </w:r>
      <w:r>
        <w:rPr>
          <w:rFonts w:hint="eastAsia" w:asciiTheme="minorEastAsia" w:hAnsiTheme="minorEastAsia" w:cstheme="minorEastAsia"/>
          <w:szCs w:val="21"/>
        </w:rPr>
        <w:t>L</w:t>
      </w:r>
      <w:r>
        <w:rPr>
          <w:rFonts w:hint="eastAsia" w:asciiTheme="minorEastAsia" w:hAnsiTheme="minorEastAsia" w:eastAsiaTheme="minorEastAsia" w:cstheme="minorEastAsia"/>
          <w:szCs w:val="21"/>
        </w:rPr>
        <w:t>量筒中，再加入250m</w:t>
      </w:r>
      <w:r>
        <w:rPr>
          <w:rFonts w:hint="eastAsia" w:asciiTheme="minorEastAsia" w:hAnsiTheme="minorEastAsia" w:cstheme="minorEastAsia"/>
          <w:szCs w:val="21"/>
        </w:rPr>
        <w:t>L</w:t>
      </w:r>
      <w:r>
        <w:rPr>
          <w:rFonts w:hint="eastAsia" w:asciiTheme="minorEastAsia" w:hAnsiTheme="minorEastAsia" w:eastAsiaTheme="minorEastAsia" w:cstheme="minorEastAsia"/>
          <w:szCs w:val="21"/>
        </w:rPr>
        <w:t>异丙醇，混合均匀，即为稀释液。</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A</w:t>
      </w:r>
      <w:r>
        <w:rPr>
          <w:rFonts w:hint="eastAsia" w:asciiTheme="minorEastAsia" w:hAnsiTheme="minorEastAsia" w:eastAsiaTheme="minorEastAsia" w:cstheme="minorEastAsia"/>
          <w:szCs w:val="21"/>
        </w:rPr>
        <w:t>.2.4乙醇（95%以上）</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A</w:t>
      </w:r>
      <w:r>
        <w:rPr>
          <w:rFonts w:hint="eastAsia" w:asciiTheme="minorEastAsia" w:hAnsiTheme="minorEastAsia" w:eastAsiaTheme="minorEastAsia" w:cstheme="minorEastAsia"/>
          <w:szCs w:val="21"/>
        </w:rPr>
        <w:t>.2.5氢氧化钾</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A</w:t>
      </w:r>
      <w:r>
        <w:rPr>
          <w:rFonts w:hint="eastAsia" w:asciiTheme="minorEastAsia" w:hAnsiTheme="minorEastAsia" w:eastAsiaTheme="minorEastAsia" w:cstheme="minorEastAsia"/>
          <w:szCs w:val="21"/>
        </w:rPr>
        <w:t>.2.6氢氧化钾乙醇标准滴定液（0.1mol/L）</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准确量取7m</w:t>
      </w:r>
      <w:r>
        <w:rPr>
          <w:rFonts w:hint="eastAsia" w:asciiTheme="minorEastAsia" w:hAnsiTheme="minorEastAsia" w:cstheme="minorEastAsia"/>
          <w:szCs w:val="21"/>
        </w:rPr>
        <w:t>L</w:t>
      </w:r>
      <w:r>
        <w:rPr>
          <w:rFonts w:hint="eastAsia" w:asciiTheme="minorEastAsia" w:hAnsiTheme="minorEastAsia" w:eastAsiaTheme="minorEastAsia" w:cstheme="minorEastAsia"/>
          <w:szCs w:val="21"/>
        </w:rPr>
        <w:t>氢氧化钾饱和溶液的上层清液，置于1000m</w:t>
      </w:r>
      <w:r>
        <w:rPr>
          <w:rFonts w:hint="eastAsia" w:asciiTheme="minorEastAsia" w:hAnsiTheme="minorEastAsia" w:cstheme="minorEastAsia"/>
          <w:szCs w:val="21"/>
        </w:rPr>
        <w:t>L</w:t>
      </w:r>
      <w:r>
        <w:rPr>
          <w:rFonts w:hint="eastAsia" w:asciiTheme="minorEastAsia" w:hAnsiTheme="minorEastAsia" w:eastAsiaTheme="minorEastAsia" w:cstheme="minorEastAsia"/>
          <w:szCs w:val="21"/>
        </w:rPr>
        <w:t>棕色容量瓶中，用乙醇（95%以上）稀释至刻度，摇匀。密闭避光放置2～4天至溶液清亮后用塑料管虹吸上层清液至另一聚乙烯容器中（避光保存或用深色聚乙烯容器）。临用取清液按GB601进行标定。</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A</w:t>
      </w:r>
      <w:r>
        <w:rPr>
          <w:rFonts w:hint="eastAsia" w:asciiTheme="minorEastAsia" w:hAnsiTheme="minorEastAsia" w:eastAsiaTheme="minorEastAsia" w:cstheme="minorEastAsia"/>
          <w:szCs w:val="21"/>
        </w:rPr>
        <w:t>.2.7酚酞指示剂（10g/L）</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称取1</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g酚酞，溶于乙醇（95%），用乙醇（95%）稀释至100</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m</w:t>
      </w:r>
      <w:r>
        <w:rPr>
          <w:rFonts w:hint="eastAsia" w:asciiTheme="minorEastAsia" w:hAnsiTheme="minorEastAsia" w:cstheme="minorEastAsia"/>
          <w:szCs w:val="21"/>
        </w:rPr>
        <w:t>L</w:t>
      </w:r>
      <w:r>
        <w:rPr>
          <w:rFonts w:hint="eastAsia" w:asciiTheme="minorEastAsia" w:hAnsiTheme="minorEastAsia" w:eastAsiaTheme="minorEastAsia" w:cstheme="minorEastAsia"/>
          <w:szCs w:val="21"/>
        </w:rPr>
        <w:t>。</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A</w:t>
      </w:r>
      <w:r>
        <w:rPr>
          <w:rFonts w:hint="eastAsia" w:asciiTheme="minorEastAsia" w:hAnsiTheme="minorEastAsia" w:eastAsiaTheme="minorEastAsia" w:cstheme="minorEastAsia"/>
          <w:szCs w:val="21"/>
        </w:rPr>
        <w:t>.2.8碱性兰6B指示剂</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称取2</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g碱性兰6B，加入乙醇（95%）稀释至100</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m</w:t>
      </w:r>
      <w:r>
        <w:rPr>
          <w:rFonts w:hint="eastAsia" w:asciiTheme="minorEastAsia" w:hAnsiTheme="minorEastAsia" w:cstheme="minorEastAsia"/>
          <w:szCs w:val="21"/>
        </w:rPr>
        <w:t>L</w:t>
      </w:r>
      <w:r>
        <w:rPr>
          <w:rFonts w:hint="eastAsia" w:asciiTheme="minorEastAsia" w:hAnsiTheme="minorEastAsia" w:eastAsiaTheme="minorEastAsia" w:cstheme="minorEastAsia"/>
          <w:szCs w:val="21"/>
        </w:rPr>
        <w:t>。</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A</w:t>
      </w:r>
      <w:r>
        <w:rPr>
          <w:rFonts w:hint="eastAsia" w:asciiTheme="minorEastAsia" w:hAnsiTheme="minorEastAsia" w:eastAsiaTheme="minorEastAsia" w:cstheme="minorEastAsia"/>
          <w:szCs w:val="21"/>
        </w:rPr>
        <w:t>.3操作步骤</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A</w:t>
      </w:r>
      <w:r>
        <w:rPr>
          <w:rFonts w:hint="eastAsia" w:asciiTheme="minorEastAsia" w:hAnsiTheme="minorEastAsia" w:eastAsiaTheme="minorEastAsia" w:cstheme="minorEastAsia"/>
          <w:szCs w:val="21"/>
        </w:rPr>
        <w:t>.3.1手工滴定</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A</w:t>
      </w:r>
      <w:r>
        <w:rPr>
          <w:rFonts w:hint="eastAsia" w:asciiTheme="minorEastAsia" w:hAnsiTheme="minorEastAsia" w:eastAsiaTheme="minorEastAsia" w:cstheme="minorEastAsia"/>
          <w:szCs w:val="21"/>
        </w:rPr>
        <w:t>.3.1.1仪器和设备  使用10</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m</w:t>
      </w:r>
      <w:r>
        <w:rPr>
          <w:rFonts w:hint="eastAsia" w:asciiTheme="minorEastAsia" w:hAnsiTheme="minorEastAsia" w:cstheme="minorEastAsia"/>
          <w:szCs w:val="21"/>
        </w:rPr>
        <w:t>L</w:t>
      </w:r>
      <w:r>
        <w:rPr>
          <w:rFonts w:hint="eastAsia" w:asciiTheme="minorEastAsia" w:hAnsiTheme="minorEastAsia" w:eastAsiaTheme="minorEastAsia" w:cstheme="minorEastAsia"/>
          <w:szCs w:val="21"/>
        </w:rPr>
        <w:t>微量滴定管；最小刻度为0.05</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m</w:t>
      </w:r>
      <w:r>
        <w:rPr>
          <w:rFonts w:hint="eastAsia" w:asciiTheme="minorEastAsia" w:hAnsiTheme="minorEastAsia" w:cstheme="minorEastAsia"/>
          <w:szCs w:val="21"/>
        </w:rPr>
        <w:t>L</w:t>
      </w:r>
      <w:r>
        <w:rPr>
          <w:rFonts w:hint="eastAsia" w:asciiTheme="minorEastAsia" w:hAnsiTheme="minorEastAsia" w:eastAsiaTheme="minorEastAsia" w:cstheme="minorEastAsia"/>
          <w:szCs w:val="21"/>
        </w:rPr>
        <w:t>。</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A</w:t>
      </w:r>
      <w:r>
        <w:rPr>
          <w:rFonts w:hint="eastAsia" w:asciiTheme="minorEastAsia" w:hAnsiTheme="minorEastAsia" w:eastAsiaTheme="minorEastAsia" w:cstheme="minorEastAsia"/>
          <w:szCs w:val="21"/>
        </w:rPr>
        <w:t xml:space="preserve">.3.1.2试样称量  </w:t>
      </w:r>
    </w:p>
    <w:p>
      <w:pPr>
        <w:spacing w:line="44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根据制备试样的颜色和估计的酸值，按表</w:t>
      </w:r>
      <w:r>
        <w:rPr>
          <w:rFonts w:hint="eastAsia" w:asciiTheme="minorEastAsia" w:hAnsiTheme="minorEastAsia" w:cstheme="minorEastAsia"/>
          <w:szCs w:val="21"/>
          <w:lang w:val="en-US" w:eastAsia="zh-CN"/>
        </w:rPr>
        <w:t>6</w:t>
      </w:r>
      <w:r>
        <w:rPr>
          <w:rFonts w:hint="eastAsia" w:asciiTheme="minorEastAsia" w:hAnsiTheme="minorEastAsia" w:eastAsiaTheme="minorEastAsia" w:cstheme="minorEastAsia"/>
          <w:szCs w:val="21"/>
        </w:rPr>
        <w:t>规定称量试样。</w:t>
      </w:r>
    </w:p>
    <w:p>
      <w:pPr>
        <w:spacing w:line="440" w:lineRule="exact"/>
        <w:jc w:val="center"/>
        <w:rPr>
          <w:rFonts w:hint="default" w:ascii="黑体" w:hAnsi="黑体" w:eastAsia="黑体" w:cs="黑体"/>
          <w:szCs w:val="21"/>
          <w:lang w:val="en-US" w:eastAsia="zh-CN"/>
        </w:rPr>
      </w:pPr>
      <w:r>
        <w:rPr>
          <w:rFonts w:hint="eastAsia" w:ascii="黑体" w:hAnsi="黑体" w:eastAsia="黑体" w:cs="黑体"/>
          <w:szCs w:val="21"/>
          <w:lang w:val="en-US" w:eastAsia="zh-CN"/>
        </w:rPr>
        <w:t>表6 试样酸值称量估值表</w:t>
      </w:r>
    </w:p>
    <w:tbl>
      <w:tblPr>
        <w:tblStyle w:val="11"/>
        <w:tblpPr w:leftFromText="180" w:rightFromText="180" w:vertAnchor="text" w:horzAnchor="page" w:tblpX="1925" w:tblpY="119"/>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2551"/>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估计的酸值mg/g</w:t>
            </w:r>
          </w:p>
        </w:tc>
        <w:tc>
          <w:tcPr>
            <w:tcW w:w="1985" w:type="dxa"/>
            <w:shd w:val="clear" w:color="auto" w:fill="auto"/>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试样的最小称量g</w:t>
            </w:r>
          </w:p>
        </w:tc>
        <w:tc>
          <w:tcPr>
            <w:tcW w:w="2551" w:type="dxa"/>
            <w:shd w:val="clear" w:color="auto" w:fill="auto"/>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使用滴定液的浓度mol/L</w:t>
            </w:r>
          </w:p>
        </w:tc>
        <w:tc>
          <w:tcPr>
            <w:tcW w:w="2177" w:type="dxa"/>
            <w:shd w:val="clear" w:color="auto" w:fill="auto"/>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试样称重的精确度g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0～1</w:t>
            </w:r>
          </w:p>
        </w:tc>
        <w:tc>
          <w:tcPr>
            <w:tcW w:w="1985" w:type="dxa"/>
            <w:shd w:val="clear" w:color="auto" w:fill="auto"/>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w:t>
            </w:r>
          </w:p>
        </w:tc>
        <w:tc>
          <w:tcPr>
            <w:tcW w:w="2551" w:type="dxa"/>
            <w:shd w:val="clear" w:color="auto" w:fill="auto"/>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0.1</w:t>
            </w:r>
          </w:p>
        </w:tc>
        <w:tc>
          <w:tcPr>
            <w:tcW w:w="2177" w:type="dxa"/>
            <w:shd w:val="clear" w:color="auto" w:fill="auto"/>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w:t>
            </w:r>
          </w:p>
        </w:tc>
        <w:tc>
          <w:tcPr>
            <w:tcW w:w="1985" w:type="dxa"/>
            <w:shd w:val="clear" w:color="auto" w:fill="auto"/>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c>
          <w:tcPr>
            <w:tcW w:w="2551" w:type="dxa"/>
            <w:shd w:val="clear" w:color="auto" w:fill="auto"/>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0.1</w:t>
            </w:r>
          </w:p>
        </w:tc>
        <w:tc>
          <w:tcPr>
            <w:tcW w:w="2177" w:type="dxa"/>
            <w:shd w:val="clear" w:color="auto" w:fill="auto"/>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4～15</w:t>
            </w:r>
          </w:p>
        </w:tc>
        <w:tc>
          <w:tcPr>
            <w:tcW w:w="1985" w:type="dxa"/>
            <w:shd w:val="clear" w:color="auto" w:fill="auto"/>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2.5</w:t>
            </w:r>
          </w:p>
        </w:tc>
        <w:tc>
          <w:tcPr>
            <w:tcW w:w="2551" w:type="dxa"/>
            <w:shd w:val="clear" w:color="auto" w:fill="auto"/>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0.1</w:t>
            </w:r>
          </w:p>
        </w:tc>
        <w:tc>
          <w:tcPr>
            <w:tcW w:w="2177" w:type="dxa"/>
            <w:shd w:val="clear" w:color="auto" w:fill="auto"/>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15～75</w:t>
            </w:r>
          </w:p>
        </w:tc>
        <w:tc>
          <w:tcPr>
            <w:tcW w:w="1985" w:type="dxa"/>
            <w:shd w:val="clear" w:color="auto" w:fill="auto"/>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0.5～3.0</w:t>
            </w:r>
          </w:p>
        </w:tc>
        <w:tc>
          <w:tcPr>
            <w:tcW w:w="2551" w:type="dxa"/>
            <w:shd w:val="clear" w:color="auto" w:fill="auto"/>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0.1或0.5</w:t>
            </w:r>
          </w:p>
        </w:tc>
        <w:tc>
          <w:tcPr>
            <w:tcW w:w="2177" w:type="dxa"/>
            <w:shd w:val="clear" w:color="auto" w:fill="auto"/>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＞75</w:t>
            </w:r>
          </w:p>
        </w:tc>
        <w:tc>
          <w:tcPr>
            <w:tcW w:w="1985" w:type="dxa"/>
            <w:shd w:val="clear" w:color="auto" w:fill="auto"/>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0.2～1.0</w:t>
            </w:r>
          </w:p>
        </w:tc>
        <w:tc>
          <w:tcPr>
            <w:tcW w:w="2551" w:type="dxa"/>
            <w:shd w:val="clear" w:color="auto" w:fill="auto"/>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0.5</w:t>
            </w:r>
          </w:p>
        </w:tc>
        <w:tc>
          <w:tcPr>
            <w:tcW w:w="2177" w:type="dxa"/>
            <w:shd w:val="clear" w:color="auto" w:fill="auto"/>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0.001</w:t>
            </w:r>
          </w:p>
        </w:tc>
      </w:tr>
    </w:tbl>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试样称样量和滴定液浓度应使滴定液用量在0.2</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ml～10</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ml之间（扣除空白后）。若检测后发现样品的实际称样量与该样品酸值所对应的应有称样量不符，应按上表要求调整称样量后重新检测。</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A</w:t>
      </w:r>
      <w:r>
        <w:rPr>
          <w:rFonts w:hint="eastAsia" w:asciiTheme="minorEastAsia" w:hAnsiTheme="minorEastAsia" w:eastAsiaTheme="minorEastAsia" w:cstheme="minorEastAsia"/>
          <w:szCs w:val="21"/>
        </w:rPr>
        <w:t>.3.1.3试样测试</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取一个干净的250</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m</w:t>
      </w:r>
      <w:r>
        <w:rPr>
          <w:rFonts w:hint="eastAsia" w:asciiTheme="minorEastAsia" w:hAnsiTheme="minorEastAsia" w:cstheme="minorEastAsia"/>
          <w:szCs w:val="21"/>
        </w:rPr>
        <w:t>L</w:t>
      </w:r>
      <w:r>
        <w:rPr>
          <w:rFonts w:hint="eastAsia" w:asciiTheme="minorEastAsia" w:hAnsiTheme="minorEastAsia" w:eastAsiaTheme="minorEastAsia" w:cstheme="minorEastAsia"/>
          <w:szCs w:val="21"/>
        </w:rPr>
        <w:t>锥形瓶，按照要求称取制备的油脂试样，加入石油醚（60～90℃）-异丙醇混合液（1：1）50</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m</w:t>
      </w:r>
      <w:r>
        <w:rPr>
          <w:rFonts w:hint="eastAsia" w:asciiTheme="minorEastAsia" w:hAnsiTheme="minorEastAsia" w:cstheme="minorEastAsia"/>
          <w:szCs w:val="21"/>
        </w:rPr>
        <w:t>L</w:t>
      </w:r>
      <w:r>
        <w:rPr>
          <w:rFonts w:hint="eastAsia" w:asciiTheme="minorEastAsia" w:hAnsiTheme="minorEastAsia" w:eastAsiaTheme="minorEastAsia" w:cstheme="minorEastAsia"/>
          <w:szCs w:val="21"/>
        </w:rPr>
        <w:t>和 2～3滴酚酞指示剂，摇匀，用氢氧化钾乙醇标准滴定液滴定，当试样溶液初现微红色，且15</w:t>
      </w:r>
      <w:r>
        <w:rPr>
          <w:rFonts w:hint="eastAsia" w:asciiTheme="minorEastAsia" w:hAnsiTheme="minorEastAsia" w:cstheme="minorEastAsia"/>
          <w:szCs w:val="21"/>
          <w:lang w:val="en-US" w:eastAsia="zh-CN"/>
        </w:rPr>
        <w:t xml:space="preserve"> </w:t>
      </w:r>
      <w:r>
        <w:rPr>
          <w:rFonts w:hint="eastAsia" w:asciiTheme="minorEastAsia" w:hAnsiTheme="minorEastAsia" w:cstheme="minorEastAsia"/>
          <w:szCs w:val="21"/>
        </w:rPr>
        <w:t>s</w:t>
      </w:r>
      <w:r>
        <w:rPr>
          <w:rFonts w:hint="eastAsia" w:asciiTheme="minorEastAsia" w:hAnsiTheme="minorEastAsia" w:eastAsiaTheme="minorEastAsia" w:cstheme="minorEastAsia"/>
          <w:szCs w:val="21"/>
        </w:rPr>
        <w:t>内无明显褪色时，为滴定终点，记录滴定所消耗的标准滴定溶液的毫升数，同时作空白校正。对于深色泽的油脂样品可用碱性兰6B指示剂取代酚酞指示剂，滴定终点为由蓝色变为红色。</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滴定液应临用现标。</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A</w:t>
      </w:r>
      <w:r>
        <w:rPr>
          <w:rFonts w:hint="eastAsia" w:asciiTheme="minorEastAsia" w:hAnsiTheme="minorEastAsia" w:eastAsiaTheme="minorEastAsia" w:cstheme="minorEastAsia"/>
          <w:szCs w:val="21"/>
        </w:rPr>
        <w:t>.3.2电位滴定法</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A</w:t>
      </w:r>
      <w:r>
        <w:rPr>
          <w:rFonts w:hint="eastAsia" w:asciiTheme="minorEastAsia" w:hAnsiTheme="minorEastAsia" w:eastAsiaTheme="minorEastAsia" w:cstheme="minorEastAsia"/>
          <w:szCs w:val="21"/>
        </w:rPr>
        <w:t>.3.2.1仪器和设备   全自动电位滴定仪及非水酸碱电极。</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A</w:t>
      </w:r>
      <w:r>
        <w:rPr>
          <w:rFonts w:hint="eastAsia" w:asciiTheme="minorEastAsia" w:hAnsiTheme="minorEastAsia" w:eastAsiaTheme="minorEastAsia" w:cstheme="minorEastAsia"/>
          <w:szCs w:val="21"/>
        </w:rPr>
        <w:t>.3.2.2试样称量</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根据制备试样的颜色和估计的酸值，按</w:t>
      </w:r>
      <w:r>
        <w:rPr>
          <w:rFonts w:hint="eastAsia" w:asciiTheme="minorEastAsia" w:hAnsiTheme="minorEastAsia" w:cstheme="minorEastAsia"/>
          <w:szCs w:val="21"/>
          <w:lang w:val="en-US" w:eastAsia="zh-CN"/>
        </w:rPr>
        <w:t>A</w:t>
      </w:r>
      <w:r>
        <w:rPr>
          <w:rFonts w:hint="eastAsia" w:asciiTheme="minorEastAsia" w:hAnsiTheme="minorEastAsia" w:eastAsiaTheme="minorEastAsia" w:cstheme="minorEastAsia"/>
          <w:szCs w:val="21"/>
        </w:rPr>
        <w:t>.3.1.2表</w:t>
      </w:r>
      <w:r>
        <w:rPr>
          <w:rFonts w:hint="eastAsia" w:asciiTheme="minorEastAsia" w:hAnsiTheme="minorEastAsia" w:cstheme="minorEastAsia"/>
          <w:szCs w:val="21"/>
          <w:lang w:val="en-US" w:eastAsia="zh-CN"/>
        </w:rPr>
        <w:t>6</w:t>
      </w:r>
      <w:r>
        <w:rPr>
          <w:rFonts w:hint="eastAsia" w:asciiTheme="minorEastAsia" w:hAnsiTheme="minorEastAsia" w:eastAsiaTheme="minorEastAsia" w:cstheme="minorEastAsia"/>
          <w:szCs w:val="21"/>
        </w:rPr>
        <w:t>规定称量试样。试样称样量和滴定液浓度应使滴定液用量在0.2</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m</w:t>
      </w:r>
      <w:r>
        <w:rPr>
          <w:rFonts w:hint="eastAsia" w:asciiTheme="minorEastAsia" w:hAnsiTheme="minorEastAsia" w:cstheme="minorEastAsia"/>
          <w:szCs w:val="21"/>
        </w:rPr>
        <w:t>L</w:t>
      </w:r>
      <w:r>
        <w:rPr>
          <w:rFonts w:hint="eastAsia" w:asciiTheme="minorEastAsia" w:hAnsiTheme="minorEastAsia" w:eastAsiaTheme="minorEastAsia" w:cstheme="minorEastAsia"/>
          <w:szCs w:val="21"/>
        </w:rPr>
        <w:t>～10</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m</w:t>
      </w:r>
      <w:r>
        <w:rPr>
          <w:rFonts w:hint="eastAsia" w:asciiTheme="minorEastAsia" w:hAnsiTheme="minorEastAsia" w:cstheme="minorEastAsia"/>
          <w:szCs w:val="21"/>
        </w:rPr>
        <w:t>L</w:t>
      </w:r>
      <w:r>
        <w:rPr>
          <w:rFonts w:hint="eastAsia" w:asciiTheme="minorEastAsia" w:hAnsiTheme="minorEastAsia" w:eastAsiaTheme="minorEastAsia" w:cstheme="minorEastAsia"/>
          <w:szCs w:val="21"/>
        </w:rPr>
        <w:t>之间（扣除空白后）。若检测后发现样品的实际称样量与该样品酸价所对应的应有称样量不符，应按上表要求调整称样量后重新检测。</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A</w:t>
      </w:r>
      <w:r>
        <w:rPr>
          <w:rFonts w:hint="eastAsia" w:asciiTheme="minorEastAsia" w:hAnsiTheme="minorEastAsia" w:eastAsiaTheme="minorEastAsia" w:cstheme="minorEastAsia"/>
          <w:szCs w:val="21"/>
        </w:rPr>
        <w:t>.3.2.3试样测试</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将石油醚（60～90℃）-异丙醇混合液（1：1）置于密闭的稀释液瓶中，先把试验杯中加入50</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m</w:t>
      </w:r>
      <w:r>
        <w:rPr>
          <w:rFonts w:hint="eastAsia" w:asciiTheme="minorEastAsia" w:hAnsiTheme="minorEastAsia" w:cstheme="minorEastAsia"/>
          <w:szCs w:val="21"/>
        </w:rPr>
        <w:t>L</w:t>
      </w:r>
      <w:r>
        <w:rPr>
          <w:rFonts w:hint="eastAsia" w:asciiTheme="minorEastAsia" w:hAnsiTheme="minorEastAsia" w:eastAsiaTheme="minorEastAsia" w:cstheme="minorEastAsia"/>
          <w:szCs w:val="21"/>
        </w:rPr>
        <w:t>稀释液，按照要求称取制备的油脂试样，通过注样孔称入试样，启动搅拌，并用标准滴定液单元滴定，当试样溶液到达等当点时，仪器自动停止滴定，即为滴定终点，设置好的仪器程序会自动计算出酸值，生成报告。同时作空白校正。</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滴定液应临用现标。</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A</w:t>
      </w:r>
      <w:r>
        <w:rPr>
          <w:rFonts w:hint="eastAsia" w:asciiTheme="minorEastAsia" w:hAnsiTheme="minorEastAsia" w:eastAsiaTheme="minorEastAsia" w:cstheme="minorEastAsia"/>
          <w:szCs w:val="21"/>
        </w:rPr>
        <w:t>.4结果计算</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酸值按照式（1）要求进行计算：</w:t>
      </w:r>
    </w:p>
    <w:p>
      <w:pPr>
        <w:spacing w:line="500" w:lineRule="exact"/>
        <w:rPr>
          <w:rFonts w:ascii="宋体" w:hAnsi="宋体"/>
          <w:sz w:val="24"/>
        </w:rPr>
      </w:pPr>
      <w:r>
        <w:rPr>
          <w:rFonts w:hint="eastAsia" w:ascii="宋体" w:hAnsi="宋体"/>
          <w:sz w:val="24"/>
        </w:rPr>
        <mc:AlternateContent>
          <mc:Choice Requires="wpg">
            <w:drawing>
              <wp:anchor distT="0" distB="0" distL="114300" distR="114300" simplePos="0" relativeHeight="251663360" behindDoc="0" locked="0" layoutInCell="1" allowOverlap="1">
                <wp:simplePos x="0" y="0"/>
                <wp:positionH relativeFrom="column">
                  <wp:posOffset>1065530</wp:posOffset>
                </wp:positionH>
                <wp:positionV relativeFrom="paragraph">
                  <wp:posOffset>46355</wp:posOffset>
                </wp:positionV>
                <wp:extent cx="1682750" cy="669290"/>
                <wp:effectExtent l="4445" t="4445" r="8255" b="12065"/>
                <wp:wrapNone/>
                <wp:docPr id="1" name="组合 1"/>
                <wp:cNvGraphicFramePr/>
                <a:graphic xmlns:a="http://schemas.openxmlformats.org/drawingml/2006/main">
                  <a:graphicData uri="http://schemas.microsoft.com/office/word/2010/wordprocessingGroup">
                    <wpg:wgp>
                      <wpg:cNvGrpSpPr/>
                      <wpg:grpSpPr>
                        <a:xfrm>
                          <a:off x="0" y="0"/>
                          <a:ext cx="1682750" cy="669290"/>
                          <a:chOff x="3379" y="4161"/>
                          <a:chExt cx="2650" cy="1054"/>
                        </a:xfrm>
                      </wpg:grpSpPr>
                      <wps:wsp>
                        <wps:cNvPr id="2" name="文本框 2"/>
                        <wps:cNvSpPr txBox="true"/>
                        <wps:spPr>
                          <a:xfrm>
                            <a:off x="3379" y="4399"/>
                            <a:ext cx="578" cy="749"/>
                          </a:xfrm>
                          <a:prstGeom prst="rect">
                            <a:avLst/>
                          </a:prstGeom>
                          <a:solidFill>
                            <a:srgbClr val="FFFFFF"/>
                          </a:solidFill>
                          <a:ln w="9525" cap="rnd" cmpd="sng">
                            <a:solidFill>
                              <a:srgbClr val="FFFFFF"/>
                            </a:solidFill>
                            <a:prstDash val="sysDot"/>
                            <a:miter/>
                            <a:headEnd type="none" w="med" len="med"/>
                            <a:tailEnd type="none" w="med" len="med"/>
                          </a:ln>
                        </wps:spPr>
                        <wps:txbx>
                          <w:txbxContent>
                            <w:p>
                              <w:pPr>
                                <w:spacing w:line="500" w:lineRule="exact"/>
                                <w:rPr>
                                  <w:rFonts w:ascii="宋体" w:hAnsi="宋体"/>
                                  <w:szCs w:val="21"/>
                                </w:rPr>
                              </w:pPr>
                              <w:r>
                                <w:rPr>
                                  <w:rFonts w:hint="eastAsia" w:ascii="宋体" w:hAnsi="宋体"/>
                                  <w:szCs w:val="21"/>
                                </w:rPr>
                                <w:t>X=</w:t>
                              </w:r>
                            </w:p>
                            <w:p/>
                          </w:txbxContent>
                        </wps:txbx>
                        <wps:bodyPr upright="true"/>
                      </wps:wsp>
                      <wps:wsp>
                        <wps:cNvPr id="3" name="文本框 3"/>
                        <wps:cNvSpPr txBox="true"/>
                        <wps:spPr>
                          <a:xfrm>
                            <a:off x="3798" y="4161"/>
                            <a:ext cx="2231" cy="578"/>
                          </a:xfrm>
                          <a:prstGeom prst="rect">
                            <a:avLst/>
                          </a:prstGeom>
                          <a:solidFill>
                            <a:srgbClr val="FFFFFF"/>
                          </a:solidFill>
                          <a:ln w="9525" cap="rnd" cmpd="sng">
                            <a:solidFill>
                              <a:srgbClr val="FFFFFF"/>
                            </a:solidFill>
                            <a:prstDash val="sysDot"/>
                            <a:miter/>
                            <a:headEnd type="none" w="med" len="med"/>
                            <a:tailEnd type="none" w="med" len="med"/>
                          </a:ln>
                        </wps:spPr>
                        <wps:txbx>
                          <w:txbxContent>
                            <w:p>
                              <w:pPr>
                                <w:spacing w:line="500" w:lineRule="exact"/>
                                <w:rPr>
                                  <w:rFonts w:ascii="宋体" w:hAnsi="宋体"/>
                                  <w:szCs w:val="21"/>
                                </w:rPr>
                              </w:pPr>
                              <w:r>
                                <w:rPr>
                                  <w:rFonts w:hint="eastAsia" w:ascii="宋体" w:hAnsi="宋体"/>
                                  <w:szCs w:val="21"/>
                                </w:rPr>
                                <w:t>（V-V</w:t>
                              </w:r>
                              <w:r>
                                <w:rPr>
                                  <w:rFonts w:hint="eastAsia" w:ascii="宋体" w:hAnsi="宋体"/>
                                  <w:szCs w:val="21"/>
                                  <w:vertAlign w:val="subscript"/>
                                </w:rPr>
                                <w:t>0</w:t>
                              </w:r>
                              <w:r>
                                <w:rPr>
                                  <w:rFonts w:hint="eastAsia" w:ascii="宋体" w:hAnsi="宋体"/>
                                  <w:szCs w:val="21"/>
                                </w:rPr>
                                <w:t>）×c×56.1</w:t>
                              </w:r>
                            </w:p>
                            <w:p/>
                          </w:txbxContent>
                        </wps:txbx>
                        <wps:bodyPr upright="true"/>
                      </wps:wsp>
                      <wps:wsp>
                        <wps:cNvPr id="4" name="文本框 4"/>
                        <wps:cNvSpPr txBox="true"/>
                        <wps:spPr>
                          <a:xfrm>
                            <a:off x="4618" y="4649"/>
                            <a:ext cx="578" cy="566"/>
                          </a:xfrm>
                          <a:prstGeom prst="rect">
                            <a:avLst/>
                          </a:prstGeom>
                          <a:solidFill>
                            <a:srgbClr val="FFFFFF"/>
                          </a:solidFill>
                          <a:ln w="9525" cap="rnd" cmpd="sng">
                            <a:solidFill>
                              <a:srgbClr val="FFFFFF"/>
                            </a:solidFill>
                            <a:prstDash val="sysDot"/>
                            <a:miter/>
                            <a:headEnd type="none" w="med" len="med"/>
                            <a:tailEnd type="none" w="med" len="med"/>
                          </a:ln>
                        </wps:spPr>
                        <wps:txbx>
                          <w:txbxContent>
                            <w:p>
                              <w:pPr>
                                <w:spacing w:line="500" w:lineRule="exact"/>
                                <w:rPr>
                                  <w:rFonts w:ascii="宋体" w:hAnsi="宋体"/>
                                  <w:szCs w:val="21"/>
                                </w:rPr>
                              </w:pPr>
                              <w:r>
                                <w:rPr>
                                  <w:rFonts w:hint="eastAsia" w:ascii="宋体" w:hAnsi="宋体"/>
                                  <w:szCs w:val="21"/>
                                </w:rPr>
                                <w:t>m</w:t>
                              </w:r>
                            </w:p>
                            <w:p/>
                          </w:txbxContent>
                        </wps:txbx>
                        <wps:bodyPr upright="true"/>
                      </wps:wsp>
                      <wps:wsp>
                        <wps:cNvPr id="5" name="直接箭头连接符 5"/>
                        <wps:cNvCnPr/>
                        <wps:spPr>
                          <a:xfrm>
                            <a:off x="3957" y="4807"/>
                            <a:ext cx="1996" cy="0"/>
                          </a:xfrm>
                          <a:prstGeom prst="straightConnector1">
                            <a:avLst/>
                          </a:prstGeom>
                          <a:ln w="9525"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83.9pt;margin-top:3.65pt;height:52.7pt;width:132.5pt;z-index:251663360;mso-width-relative:page;mso-height-relative:page;" coordorigin="3379,4161" coordsize="2650,1054" o:gfxdata="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FgAAAGRycy9QSwECFAAUAAAACACH&#10;TuJA1xT+6tcAAAAJAQAADwAAAAAAAAABACAAAAA4AAAAZHJzL2Rvd25yZXYueG1sUEsBAhQAFAAA&#10;AAgAh07iQLcZf2swAwAA6QsAAA4AAAAAAAAAAQAgAAAAPAEAAGRycy9lMm9Eb2MueG1sUEsFBgAA&#10;AAAGAAYAWQEAAN4GAAAAAA==&#10;">
                <o:lock v:ext="edit" aspectratio="f"/>
                <v:shape id="_x0000_s1026" o:spid="_x0000_s1026" o:spt="202" type="#_x0000_t202" style="position:absolute;left:3379;top:4399;height:749;width:578;" fillcolor="#FFFFFF" filled="t" stroked="t" coordsize="21600,21600" o:gfxdata="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wE1OQboAAADaAAAADwAAAAAAAAABACAAAAA4AAAAZHJzL2Rvd25yZXYueG1s&#10;UEsBAhQAFAAAAAgAh07iQDMvBZ47AAAAOQAAABAAAAAAAAAAAQAgAAAAHwEAAGRycy9zaGFwZXht&#10;bC54bWxQSwUGAAAAAAYABgBbAQAAyQMAAAAA&#10;">
                  <v:fill on="t" focussize="0,0"/>
                  <v:stroke color="#FFFFFF" joinstyle="miter" dashstyle="1 1" endcap="round"/>
                  <v:imagedata o:title=""/>
                  <o:lock v:ext="edit" aspectratio="f"/>
                  <v:textbox>
                    <w:txbxContent>
                      <w:p>
                        <w:pPr>
                          <w:spacing w:line="500" w:lineRule="exact"/>
                          <w:rPr>
                            <w:rFonts w:ascii="宋体" w:hAnsi="宋体"/>
                            <w:szCs w:val="21"/>
                          </w:rPr>
                        </w:pPr>
                        <w:r>
                          <w:rPr>
                            <w:rFonts w:hint="eastAsia" w:ascii="宋体" w:hAnsi="宋体"/>
                            <w:szCs w:val="21"/>
                          </w:rPr>
                          <w:t>X=</w:t>
                        </w:r>
                      </w:p>
                      <w:p/>
                    </w:txbxContent>
                  </v:textbox>
                </v:shape>
                <v:shape id="_x0000_s1026" o:spid="_x0000_s1026" o:spt="202" type="#_x0000_t202" style="position:absolute;left:3798;top:4161;height:578;width:2231;" fillcolor="#FFFFFF" filled="t" stroked="t" coordsize="21600,21600" o:gfxdata="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vAevauQAAANoAAAAPAAAAAAAAAAEAIAAAADgAAABkcnMvZG93bnJldi54bWxQ&#10;SwECFAAUAAAACACHTuJAMy8FnjsAAAA5AAAAEAAAAAAAAAABACAAAAAeAQAAZHJzL3NoYXBleG1s&#10;LnhtbFBLBQYAAAAABgAGAFsBAADIAwAAAAA=&#10;">
                  <v:fill on="t" focussize="0,0"/>
                  <v:stroke color="#FFFFFF" joinstyle="miter" dashstyle="1 1" endcap="round"/>
                  <v:imagedata o:title=""/>
                  <o:lock v:ext="edit" aspectratio="f"/>
                  <v:textbox>
                    <w:txbxContent>
                      <w:p>
                        <w:pPr>
                          <w:spacing w:line="500" w:lineRule="exact"/>
                          <w:rPr>
                            <w:rFonts w:ascii="宋体" w:hAnsi="宋体"/>
                            <w:szCs w:val="21"/>
                          </w:rPr>
                        </w:pPr>
                        <w:r>
                          <w:rPr>
                            <w:rFonts w:hint="eastAsia" w:ascii="宋体" w:hAnsi="宋体"/>
                            <w:szCs w:val="21"/>
                          </w:rPr>
                          <w:t>（V-V</w:t>
                        </w:r>
                        <w:r>
                          <w:rPr>
                            <w:rFonts w:hint="eastAsia" w:ascii="宋体" w:hAnsi="宋体"/>
                            <w:szCs w:val="21"/>
                            <w:vertAlign w:val="subscript"/>
                          </w:rPr>
                          <w:t>0</w:t>
                        </w:r>
                        <w:r>
                          <w:rPr>
                            <w:rFonts w:hint="eastAsia" w:ascii="宋体" w:hAnsi="宋体"/>
                            <w:szCs w:val="21"/>
                          </w:rPr>
                          <w:t>）×c×56.1</w:t>
                        </w:r>
                      </w:p>
                      <w:p/>
                    </w:txbxContent>
                  </v:textbox>
                </v:shape>
                <v:shape id="_x0000_s1026" o:spid="_x0000_s1026" o:spt="202" type="#_x0000_t202" style="position:absolute;left:4618;top:4649;height:566;width:578;" fillcolor="#FFFFFF" filled="t" stroked="t" coordsize="21600,21600" o:gfxdata="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g6HOuuQAAANoAAAAPAAAAAAAAAAEAIAAAADgAAABkcnMvZG93bnJldi54bWxQ&#10;SwECFAAUAAAACACHTuJAMy8FnjsAAAA5AAAAEAAAAAAAAAABACAAAAAeAQAAZHJzL3NoYXBleG1s&#10;LnhtbFBLBQYAAAAABgAGAFsBAADIAwAAAAA=&#10;">
                  <v:fill on="t" focussize="0,0"/>
                  <v:stroke color="#FFFFFF" joinstyle="miter" dashstyle="1 1" endcap="round"/>
                  <v:imagedata o:title=""/>
                  <o:lock v:ext="edit" aspectratio="f"/>
                  <v:textbox>
                    <w:txbxContent>
                      <w:p>
                        <w:pPr>
                          <w:spacing w:line="500" w:lineRule="exact"/>
                          <w:rPr>
                            <w:rFonts w:ascii="宋体" w:hAnsi="宋体"/>
                            <w:szCs w:val="21"/>
                          </w:rPr>
                        </w:pPr>
                        <w:r>
                          <w:rPr>
                            <w:rFonts w:hint="eastAsia" w:ascii="宋体" w:hAnsi="宋体"/>
                            <w:szCs w:val="21"/>
                          </w:rPr>
                          <w:t>m</w:t>
                        </w:r>
                      </w:p>
                      <w:p/>
                    </w:txbxContent>
                  </v:textbox>
                </v:shape>
                <v:shape id="_x0000_s1026" o:spid="_x0000_s1026" o:spt="32" type="#_x0000_t32" style="position:absolute;left:3957;top:4807;height:0;width:1996;" filled="f" stroked="t" coordsize="21600,21600" o:gfxdata="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LbQrFa7AAAA2gAAAA8AAAAAAAAAAQAgAAAAOAAAAGRycy9kb3ducmV2Lnht&#10;bFBLAQIUABQAAAAIAIdO4kAzLwWeOwAAADkAAAAQAAAAAAAAAAEAIAAAACABAABkcnMvc2hhcGV4&#10;bWwueG1sUEsFBgAAAAAGAAYAWwEAAMoDAAAAAA==&#10;">
                  <v:fill on="f" focussize="0,0"/>
                  <v:stroke color="#000000" joinstyle="round"/>
                  <v:imagedata o:title=""/>
                  <o:lock v:ext="edit" aspectratio="f"/>
                </v:shape>
              </v:group>
            </w:pict>
          </mc:Fallback>
        </mc:AlternateContent>
      </w:r>
    </w:p>
    <w:p>
      <w:pPr>
        <w:spacing w:line="500" w:lineRule="exact"/>
        <w:rPr>
          <w:rFonts w:ascii="宋体" w:hAnsi="宋体"/>
          <w:b/>
          <w:sz w:val="24"/>
        </w:rPr>
      </w:pPr>
      <w:r>
        <w:rPr>
          <w:rFonts w:hint="eastAsia" w:ascii="宋体" w:hAnsi="宋体"/>
          <w:b/>
          <w:sz w:val="24"/>
        </w:rPr>
        <w:t xml:space="preserve">                                                  </w:t>
      </w:r>
      <w:r>
        <w:rPr>
          <w:rFonts w:hint="eastAsia" w:ascii="宋体" w:hAnsi="宋体"/>
          <w:b/>
          <w:szCs w:val="21"/>
        </w:rPr>
        <w:t xml:space="preserve">   </w:t>
      </w:r>
      <w:r>
        <w:rPr>
          <w:rFonts w:hint="eastAsia" w:ascii="宋体" w:hAnsi="宋体"/>
          <w:bCs/>
          <w:szCs w:val="21"/>
        </w:rPr>
        <w:t>------------（1）</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式中：</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X ----酸值，单位为毫克</w:t>
      </w:r>
      <w:r>
        <w:rPr>
          <w:rFonts w:hint="eastAsia" w:asciiTheme="minorEastAsia" w:hAnsiTheme="minorEastAsia" w:cstheme="minorEastAsia"/>
          <w:szCs w:val="21"/>
        </w:rPr>
        <w:t>KOH</w:t>
      </w:r>
      <w:r>
        <w:rPr>
          <w:rFonts w:hint="eastAsia" w:asciiTheme="minorEastAsia" w:hAnsiTheme="minorEastAsia" w:eastAsiaTheme="minorEastAsia" w:cstheme="minorEastAsia"/>
          <w:szCs w:val="21"/>
        </w:rPr>
        <w:t>每克（mg</w:t>
      </w:r>
      <w:r>
        <w:rPr>
          <w:rFonts w:hint="eastAsia" w:asciiTheme="minorEastAsia" w:hAnsiTheme="minorEastAsia" w:cstheme="minorEastAsia"/>
          <w:szCs w:val="21"/>
        </w:rPr>
        <w:t>KOH</w:t>
      </w:r>
      <w:r>
        <w:rPr>
          <w:rFonts w:hint="eastAsia" w:asciiTheme="minorEastAsia" w:hAnsiTheme="minorEastAsia" w:eastAsiaTheme="minorEastAsia" w:cstheme="minorEastAsia"/>
          <w:szCs w:val="21"/>
        </w:rPr>
        <w:t>/g）；</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V ----试样控制所消耗的标准滴定液的体积，单位为毫升（m</w:t>
      </w:r>
      <w:r>
        <w:rPr>
          <w:rFonts w:hint="eastAsia" w:asciiTheme="minorEastAsia" w:hAnsiTheme="minorEastAsia" w:cstheme="minorEastAsia"/>
          <w:szCs w:val="21"/>
        </w:rPr>
        <w:t>L</w:t>
      </w:r>
      <w:r>
        <w:rPr>
          <w:rFonts w:hint="eastAsia" w:asciiTheme="minorEastAsia" w:hAnsiTheme="minorEastAsia" w:eastAsiaTheme="minorEastAsia" w:cstheme="minorEastAsia"/>
          <w:szCs w:val="21"/>
        </w:rPr>
        <w:t>）；</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V</w:t>
      </w:r>
      <w:r>
        <w:rPr>
          <w:rFonts w:hint="eastAsia" w:asciiTheme="minorEastAsia" w:hAnsiTheme="minorEastAsia" w:eastAsiaTheme="minorEastAsia" w:cstheme="minorEastAsia"/>
          <w:szCs w:val="21"/>
          <w:vertAlign w:val="subscript"/>
        </w:rPr>
        <w:t>0</w:t>
      </w:r>
      <w:r>
        <w:rPr>
          <w:rFonts w:hint="eastAsia" w:asciiTheme="minorEastAsia" w:hAnsiTheme="minorEastAsia" w:cstheme="minorEastAsia"/>
          <w:szCs w:val="21"/>
          <w:vertAlign w:val="subscript"/>
          <w:lang w:val="en-US" w:eastAsia="zh-CN"/>
        </w:rPr>
        <w:t xml:space="preserve"> </w:t>
      </w:r>
      <w:r>
        <w:rPr>
          <w:rFonts w:hint="eastAsia" w:asciiTheme="minorEastAsia" w:hAnsiTheme="minorEastAsia" w:eastAsiaTheme="minorEastAsia" w:cstheme="minorEastAsia"/>
          <w:szCs w:val="21"/>
        </w:rPr>
        <w:t>----相应的空白测定所消耗的标准滴定液的体积，单位为毫升（m</w:t>
      </w:r>
      <w:r>
        <w:rPr>
          <w:rFonts w:hint="eastAsia" w:asciiTheme="minorEastAsia" w:hAnsiTheme="minorEastAsia" w:cstheme="minorEastAsia"/>
          <w:szCs w:val="21"/>
        </w:rPr>
        <w:t>L</w:t>
      </w:r>
      <w:r>
        <w:rPr>
          <w:rFonts w:hint="eastAsia" w:asciiTheme="minorEastAsia" w:hAnsiTheme="minorEastAsia" w:eastAsiaTheme="minorEastAsia" w:cstheme="minorEastAsia"/>
          <w:szCs w:val="21"/>
        </w:rPr>
        <w:t>）；</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c ----标准滴定溶液的摩尔浓度，单位为摩尔每升（mol/L）；</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56.1----氢氧化钾的摩尔质量，单位为克每摩尔（g/mol）；</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m ----油脂样品的称样量，单位为克（g）。</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取其算术平均值为控制结果。</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酸值≤1</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mg/g</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时，计算结果保留2位小数；</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mg/g＜酸值≤100</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mg/g时，计算结果保留1位小数；</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酸值≥100</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mg/g时，计算结果保留至整数位。</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A</w:t>
      </w:r>
      <w:r>
        <w:rPr>
          <w:rFonts w:hint="eastAsia" w:asciiTheme="minorEastAsia" w:hAnsiTheme="minorEastAsia" w:eastAsiaTheme="minorEastAsia" w:cstheme="minorEastAsia"/>
          <w:szCs w:val="21"/>
        </w:rPr>
        <w:t>.5允许差</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当酸值＜1</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mg/g时，两次独立测定结果的绝对差值不得超过算术平均值15%；</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当酸值≥1</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mg/g时，两次独立测定结果的绝对差值不得超过算术平均值12%。</w:t>
      </w:r>
    </w:p>
    <w:p>
      <w:pPr>
        <w:spacing w:line="500" w:lineRule="exact"/>
        <w:jc w:val="left"/>
        <w:rPr>
          <w:rFonts w:hint="default" w:ascii="宋体" w:hAnsi="宋体"/>
          <w:szCs w:val="21"/>
          <w:lang w:val="en-US" w:eastAsia="zh-CN"/>
        </w:rPr>
      </w:pPr>
    </w:p>
    <w:p>
      <w:pPr>
        <w:spacing w:line="500" w:lineRule="exact"/>
        <w:jc w:val="center"/>
        <w:outlineLvl w:val="0"/>
        <w:rPr>
          <w:rFonts w:hint="eastAsia" w:ascii="黑体" w:hAnsi="黑体" w:eastAsia="黑体" w:cs="黑体"/>
          <w:szCs w:val="21"/>
          <w:lang w:val="en-US" w:eastAsia="zh-CN"/>
        </w:rPr>
      </w:pPr>
      <w:bookmarkStart w:id="25" w:name="_Toc23173"/>
      <w:bookmarkStart w:id="26" w:name="_Toc15720"/>
    </w:p>
    <w:p>
      <w:pPr>
        <w:spacing w:line="500" w:lineRule="exact"/>
        <w:jc w:val="center"/>
        <w:outlineLvl w:val="0"/>
        <w:rPr>
          <w:rFonts w:hint="eastAsia" w:ascii="黑体" w:hAnsi="黑体" w:eastAsia="黑体" w:cs="黑体"/>
          <w:szCs w:val="21"/>
          <w:lang w:val="en-US" w:eastAsia="zh-CN"/>
        </w:rPr>
      </w:pPr>
    </w:p>
    <w:p>
      <w:pPr>
        <w:spacing w:line="500" w:lineRule="exact"/>
        <w:jc w:val="center"/>
        <w:outlineLvl w:val="0"/>
        <w:rPr>
          <w:rFonts w:hint="eastAsia" w:ascii="黑体" w:hAnsi="黑体" w:eastAsia="黑体" w:cs="黑体"/>
          <w:szCs w:val="21"/>
          <w:lang w:val="en-US" w:eastAsia="zh-CN"/>
        </w:rPr>
      </w:pPr>
    </w:p>
    <w:p>
      <w:pPr>
        <w:spacing w:line="500" w:lineRule="exact"/>
        <w:jc w:val="center"/>
        <w:outlineLvl w:val="0"/>
        <w:rPr>
          <w:rFonts w:hint="eastAsia" w:ascii="黑体" w:hAnsi="黑体" w:eastAsia="黑体" w:cs="黑体"/>
          <w:szCs w:val="21"/>
          <w:lang w:val="en-US" w:eastAsia="zh-CN"/>
        </w:rPr>
      </w:pPr>
    </w:p>
    <w:p>
      <w:pPr>
        <w:spacing w:line="500" w:lineRule="exact"/>
        <w:jc w:val="center"/>
        <w:outlineLvl w:val="0"/>
        <w:rPr>
          <w:rFonts w:hint="eastAsia" w:ascii="黑体" w:hAnsi="黑体" w:eastAsia="黑体" w:cs="黑体"/>
          <w:szCs w:val="21"/>
          <w:lang w:val="en-US" w:eastAsia="zh-CN"/>
        </w:rPr>
      </w:pPr>
    </w:p>
    <w:p>
      <w:pPr>
        <w:spacing w:line="500" w:lineRule="exact"/>
        <w:jc w:val="center"/>
        <w:outlineLvl w:val="0"/>
        <w:rPr>
          <w:rFonts w:hint="eastAsia" w:ascii="黑体" w:hAnsi="黑体" w:eastAsia="黑体" w:cs="黑体"/>
          <w:szCs w:val="21"/>
          <w:lang w:val="en-US" w:eastAsia="zh-CN"/>
        </w:rPr>
      </w:pPr>
    </w:p>
    <w:p>
      <w:pPr>
        <w:spacing w:line="500" w:lineRule="exact"/>
        <w:jc w:val="center"/>
        <w:outlineLvl w:val="0"/>
        <w:rPr>
          <w:rFonts w:hint="eastAsia" w:ascii="黑体" w:hAnsi="黑体" w:eastAsia="黑体" w:cs="黑体"/>
          <w:szCs w:val="21"/>
          <w:lang w:val="en-US" w:eastAsia="zh-CN"/>
        </w:rPr>
      </w:pPr>
    </w:p>
    <w:p>
      <w:pPr>
        <w:spacing w:line="500" w:lineRule="exact"/>
        <w:jc w:val="center"/>
        <w:outlineLvl w:val="0"/>
        <w:rPr>
          <w:rFonts w:hint="eastAsia" w:ascii="黑体" w:hAnsi="黑体" w:eastAsia="黑体" w:cs="黑体"/>
          <w:szCs w:val="21"/>
          <w:lang w:val="en-US" w:eastAsia="zh-CN"/>
        </w:rPr>
      </w:pPr>
    </w:p>
    <w:p>
      <w:pPr>
        <w:spacing w:line="500" w:lineRule="exact"/>
        <w:jc w:val="center"/>
        <w:outlineLvl w:val="0"/>
        <w:rPr>
          <w:rFonts w:hint="eastAsia" w:ascii="黑体" w:hAnsi="黑体" w:eastAsia="黑体" w:cs="黑体"/>
          <w:szCs w:val="21"/>
          <w:lang w:val="en-US" w:eastAsia="zh-CN"/>
        </w:rPr>
      </w:pPr>
    </w:p>
    <w:p>
      <w:pPr>
        <w:spacing w:line="500" w:lineRule="exact"/>
        <w:jc w:val="center"/>
        <w:outlineLvl w:val="0"/>
        <w:rPr>
          <w:rFonts w:hint="eastAsia" w:ascii="黑体" w:hAnsi="黑体" w:eastAsia="黑体" w:cs="黑体"/>
          <w:szCs w:val="21"/>
          <w:lang w:val="en-US" w:eastAsia="zh-CN"/>
        </w:rPr>
      </w:pPr>
    </w:p>
    <w:p>
      <w:pPr>
        <w:spacing w:line="500" w:lineRule="exact"/>
        <w:jc w:val="center"/>
        <w:outlineLvl w:val="0"/>
        <w:rPr>
          <w:rFonts w:hint="eastAsia" w:ascii="黑体" w:hAnsi="黑体" w:eastAsia="黑体" w:cs="黑体"/>
          <w:szCs w:val="21"/>
          <w:lang w:val="en-US" w:eastAsia="zh-CN"/>
        </w:rPr>
      </w:pPr>
    </w:p>
    <w:p>
      <w:pPr>
        <w:spacing w:line="500" w:lineRule="exact"/>
        <w:jc w:val="center"/>
        <w:outlineLvl w:val="0"/>
        <w:rPr>
          <w:rFonts w:hint="eastAsia" w:ascii="黑体" w:hAnsi="黑体" w:eastAsia="黑体" w:cs="黑体"/>
          <w:szCs w:val="21"/>
          <w:lang w:val="en-US" w:eastAsia="zh-CN"/>
        </w:rPr>
      </w:pPr>
    </w:p>
    <w:p>
      <w:pPr>
        <w:spacing w:line="500" w:lineRule="exact"/>
        <w:jc w:val="center"/>
        <w:outlineLvl w:val="0"/>
        <w:rPr>
          <w:rFonts w:hint="eastAsia" w:ascii="黑体" w:hAnsi="黑体" w:eastAsia="黑体" w:cs="黑体"/>
          <w:szCs w:val="21"/>
          <w:lang w:val="en-US" w:eastAsia="zh-CN"/>
        </w:rPr>
      </w:pPr>
    </w:p>
    <w:p>
      <w:pPr>
        <w:spacing w:line="500" w:lineRule="exact"/>
        <w:jc w:val="center"/>
        <w:outlineLvl w:val="0"/>
        <w:rPr>
          <w:rFonts w:hint="eastAsia" w:ascii="黑体" w:hAnsi="黑体" w:eastAsia="黑体" w:cs="黑体"/>
          <w:szCs w:val="21"/>
          <w:lang w:val="en-US" w:eastAsia="zh-CN"/>
        </w:rPr>
      </w:pPr>
    </w:p>
    <w:p>
      <w:pPr>
        <w:spacing w:line="500" w:lineRule="exact"/>
        <w:jc w:val="center"/>
        <w:outlineLvl w:val="0"/>
        <w:rPr>
          <w:rFonts w:hint="eastAsia" w:ascii="黑体" w:hAnsi="黑体" w:eastAsia="黑体" w:cs="黑体"/>
          <w:szCs w:val="21"/>
          <w:lang w:val="en-US" w:eastAsia="zh-CN"/>
        </w:rPr>
      </w:pPr>
    </w:p>
    <w:p>
      <w:pPr>
        <w:spacing w:line="500" w:lineRule="exact"/>
        <w:jc w:val="center"/>
        <w:outlineLvl w:val="0"/>
        <w:rPr>
          <w:rFonts w:hint="eastAsia" w:ascii="黑体" w:hAnsi="黑体" w:eastAsia="黑体" w:cs="黑体"/>
          <w:szCs w:val="21"/>
          <w:lang w:val="en-US" w:eastAsia="zh-CN"/>
        </w:rPr>
      </w:pPr>
    </w:p>
    <w:p>
      <w:pPr>
        <w:spacing w:line="500" w:lineRule="exact"/>
        <w:jc w:val="center"/>
        <w:outlineLvl w:val="0"/>
        <w:rPr>
          <w:rFonts w:hint="eastAsia" w:ascii="黑体" w:hAnsi="黑体" w:eastAsia="黑体" w:cs="黑体"/>
          <w:szCs w:val="21"/>
          <w:lang w:val="en-US" w:eastAsia="zh-CN"/>
        </w:rPr>
      </w:pPr>
      <w:r>
        <w:rPr>
          <w:rFonts w:hint="eastAsia" w:ascii="黑体" w:hAnsi="黑体" w:eastAsia="黑体" w:cs="黑体"/>
          <w:szCs w:val="21"/>
          <w:lang w:val="en-US" w:eastAsia="zh-CN"/>
        </w:rPr>
        <w:t>附录B</w:t>
      </w:r>
      <w:bookmarkEnd w:id="25"/>
      <w:bookmarkEnd w:id="26"/>
    </w:p>
    <w:p>
      <w:pPr>
        <w:spacing w:line="500" w:lineRule="exact"/>
        <w:jc w:val="center"/>
        <w:rPr>
          <w:rFonts w:hint="eastAsia" w:ascii="黑体" w:hAnsi="黑体" w:eastAsia="黑体" w:cs="黑体"/>
          <w:szCs w:val="21"/>
          <w:lang w:val="en-US" w:eastAsia="zh-CN"/>
        </w:rPr>
      </w:pPr>
      <w:r>
        <w:rPr>
          <w:rFonts w:hint="eastAsia" w:ascii="黑体" w:hAnsi="黑体" w:eastAsia="黑体" w:cs="黑体"/>
          <w:szCs w:val="21"/>
          <w:lang w:val="en-US" w:eastAsia="zh-CN"/>
        </w:rPr>
        <w:t>（资料性</w:t>
      </w:r>
      <w:r>
        <w:rPr>
          <w:rFonts w:hint="eastAsia" w:ascii="黑体" w:hAnsi="黑体" w:eastAsia="黑体" w:cs="黑体"/>
          <w:szCs w:val="21"/>
          <w:lang w:eastAsia="zh-CN"/>
        </w:rPr>
        <w:t>附录</w:t>
      </w:r>
      <w:r>
        <w:rPr>
          <w:rFonts w:hint="eastAsia" w:ascii="黑体" w:hAnsi="黑体" w:eastAsia="黑体" w:cs="黑体"/>
          <w:szCs w:val="21"/>
          <w:lang w:val="en-US" w:eastAsia="zh-CN"/>
        </w:rPr>
        <w:t>）</w:t>
      </w:r>
    </w:p>
    <w:p>
      <w:pPr>
        <w:spacing w:line="500" w:lineRule="exact"/>
        <w:jc w:val="center"/>
        <w:rPr>
          <w:rFonts w:hint="eastAsia" w:ascii="黑体" w:hAnsi="黑体" w:eastAsia="黑体" w:cs="黑体"/>
          <w:szCs w:val="21"/>
          <w:lang w:val="en-US" w:eastAsia="zh-CN"/>
        </w:rPr>
      </w:pPr>
      <w:r>
        <w:rPr>
          <w:rFonts w:hint="eastAsia" w:ascii="黑体" w:hAnsi="黑体" w:eastAsia="黑体" w:cs="黑体"/>
          <w:szCs w:val="21"/>
          <w:lang w:val="en-US" w:eastAsia="zh-CN"/>
        </w:rPr>
        <w:t>浮选剂组分含量百分数的测定</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B</w:t>
      </w:r>
      <w:r>
        <w:rPr>
          <w:rFonts w:hint="eastAsia" w:asciiTheme="minorEastAsia" w:hAnsiTheme="minorEastAsia" w:eastAsiaTheme="minorEastAsia" w:cstheme="minorEastAsia"/>
          <w:szCs w:val="21"/>
        </w:rPr>
        <w:t>.1方法原理</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生物浮选剂是由饱和及不饱和脂肪类混合物组成的酯类、脂肪类与烃、醇类配制成的。利用气相色谱法使待测组分在流动相和</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"https://wenwen.sogou.com/s/?w=%E5%9B%BA%E5%AE%9A%E7%9B%B8&amp;ch=ww.xqy.chain" \t "_blank"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固定相</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之间可以瞬间地达到平衡，根据分配系数、吸附力等亲和力的不同来进行各组分的分离。使用氢火焰</w:t>
      </w:r>
      <w:r>
        <w:rPr>
          <w:rFonts w:hint="eastAsia" w:asciiTheme="minorEastAsia" w:hAnsiTheme="minorEastAsia" w:cstheme="minorEastAsia"/>
          <w:szCs w:val="21"/>
          <w:lang w:eastAsia="zh-CN"/>
        </w:rPr>
        <w:t>离子</w:t>
      </w:r>
      <w:r>
        <w:rPr>
          <w:rFonts w:hint="eastAsia" w:asciiTheme="minorEastAsia" w:hAnsiTheme="minorEastAsia" w:eastAsiaTheme="minorEastAsia" w:cstheme="minorEastAsia"/>
          <w:szCs w:val="21"/>
        </w:rPr>
        <w:t>检测器（FID）利用温度</w:t>
      </w:r>
      <w:r>
        <w:rPr>
          <w:rFonts w:hint="eastAsia" w:asciiTheme="minorEastAsia" w:hAnsiTheme="minorEastAsia" w:cstheme="minorEastAsia"/>
          <w:szCs w:val="21"/>
          <w:lang w:eastAsia="zh-CN"/>
        </w:rPr>
        <w:t>阶梯</w:t>
      </w:r>
      <w:r>
        <w:rPr>
          <w:rFonts w:hint="eastAsia" w:asciiTheme="minorEastAsia" w:hAnsiTheme="minorEastAsia" w:eastAsiaTheme="minorEastAsia" w:cstheme="minorEastAsia"/>
          <w:szCs w:val="21"/>
        </w:rPr>
        <w:t>差使碳数少的先出峰，碳数多的后出峰；当碳数相同时，饱和的先出峰，不饱和的后出峰。气相色谱法是分析速度快和分离效率高的分离分析方法。配合高灵敏、高选择性检测器，使得它又具有</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"https://wenwen.sogou.com/s/?w=%E5%88%86%E6%9E%90%E7%81%B5%E6%95%8F%E5%BA%A6&amp;ch=ww.xqy.chain" \t "_blank"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分析灵敏度</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高、应用范围广等优点。</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用外标法-标准曲线法各组分含量百分率可以精准计算，从而反应生物浮选剂的质量指标，以利于控制产品质量。</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B</w:t>
      </w:r>
      <w:r>
        <w:rPr>
          <w:rFonts w:hint="eastAsia" w:asciiTheme="minorEastAsia" w:hAnsiTheme="minorEastAsia" w:eastAsiaTheme="minorEastAsia" w:cstheme="minorEastAsia"/>
          <w:szCs w:val="21"/>
        </w:rPr>
        <w:t xml:space="preserve">.2仪器和设备  </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气相色谱仪 配有氢火焰离子检测器（FID）。采用固定相（5%-苯基）-二甲基聚硅氧烷制成的DB-5ht毛细管柱色谱柱（15</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m×0.25</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mm×0.25</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i/>
          <w:iCs/>
          <w:szCs w:val="21"/>
        </w:rPr>
        <w:t>μ</w:t>
      </w:r>
      <w:r>
        <w:rPr>
          <w:rFonts w:hint="eastAsia" w:asciiTheme="minorEastAsia" w:hAnsiTheme="minorEastAsia" w:eastAsiaTheme="minorEastAsia" w:cstheme="minorEastAsia"/>
          <w:szCs w:val="21"/>
        </w:rPr>
        <w:t>m），具有-60～400℃高温上限；载气为高纯氮气（纯度</w:t>
      </w:r>
      <w:r>
        <w:rPr>
          <w:rFonts w:hint="eastAsia" w:asciiTheme="minorEastAsia" w:hAnsiTheme="minorEastAsia" w:cstheme="minorEastAsia"/>
          <w:szCs w:val="21"/>
          <w:lang w:val="en-US" w:eastAsia="zh-CN"/>
        </w:rPr>
        <w:t>O</w:t>
      </w:r>
      <w:r>
        <w:rPr>
          <w:rFonts w:hint="eastAsia" w:asciiTheme="minorEastAsia" w:hAnsiTheme="minorEastAsia" w:eastAsiaTheme="minorEastAsia" w:cstheme="minorEastAsia"/>
          <w:szCs w:val="21"/>
          <w:vertAlign w:val="subscript"/>
        </w:rPr>
        <w:t>2</w:t>
      </w:r>
      <w:r>
        <w:rPr>
          <w:rFonts w:hint="eastAsia" w:asciiTheme="minorEastAsia" w:hAnsiTheme="minorEastAsia" w:eastAsiaTheme="minorEastAsia" w:cstheme="minorEastAsia"/>
          <w:szCs w:val="21"/>
        </w:rPr>
        <w:t>≤3</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ppm）；恒流模式：载气流速为1.0～1.2</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m</w:t>
      </w:r>
      <w:r>
        <w:rPr>
          <w:rFonts w:hint="eastAsia" w:asciiTheme="minorEastAsia" w:hAnsiTheme="minorEastAsia" w:cstheme="minorEastAsia"/>
          <w:szCs w:val="21"/>
          <w:lang w:val="en-US" w:eastAsia="zh-CN"/>
        </w:rPr>
        <w:t>L</w:t>
      </w:r>
      <w:r>
        <w:rPr>
          <w:rFonts w:hint="eastAsia" w:asciiTheme="minorEastAsia" w:hAnsiTheme="minorEastAsia" w:eastAsiaTheme="minorEastAsia" w:cstheme="minorEastAsia"/>
          <w:szCs w:val="21"/>
        </w:rPr>
        <w:t>/min,氢气流速为30～40</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m</w:t>
      </w:r>
      <w:r>
        <w:rPr>
          <w:rFonts w:hint="eastAsia" w:asciiTheme="minorEastAsia" w:hAnsiTheme="minorEastAsia" w:cstheme="minorEastAsia"/>
          <w:szCs w:val="21"/>
          <w:lang w:val="en-US" w:eastAsia="zh-CN"/>
        </w:rPr>
        <w:t>L</w:t>
      </w:r>
      <w:r>
        <w:rPr>
          <w:rFonts w:hint="eastAsia" w:asciiTheme="minorEastAsia" w:hAnsiTheme="minorEastAsia" w:eastAsiaTheme="minorEastAsia" w:cstheme="minorEastAsia"/>
          <w:szCs w:val="21"/>
        </w:rPr>
        <w:t>/min空气流速为300～400</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m</w:t>
      </w:r>
      <w:r>
        <w:rPr>
          <w:rFonts w:hint="eastAsia" w:asciiTheme="minorEastAsia" w:hAnsiTheme="minorEastAsia" w:cstheme="minorEastAsia"/>
          <w:szCs w:val="21"/>
          <w:lang w:val="en-US" w:eastAsia="zh-CN"/>
        </w:rPr>
        <w:t>L</w:t>
      </w:r>
      <w:r>
        <w:rPr>
          <w:rFonts w:hint="eastAsia" w:asciiTheme="minorEastAsia" w:hAnsiTheme="minorEastAsia" w:eastAsiaTheme="minorEastAsia" w:cstheme="minorEastAsia"/>
          <w:szCs w:val="21"/>
        </w:rPr>
        <w:t>/min；尾吹+载气30</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m</w:t>
      </w:r>
      <w:r>
        <w:rPr>
          <w:rFonts w:hint="eastAsia" w:asciiTheme="minorEastAsia" w:hAnsiTheme="minorEastAsia" w:cstheme="minorEastAsia"/>
          <w:szCs w:val="21"/>
          <w:lang w:val="en-US" w:eastAsia="zh-CN"/>
        </w:rPr>
        <w:t>L</w:t>
      </w:r>
      <w:r>
        <w:rPr>
          <w:rFonts w:hint="eastAsia" w:asciiTheme="minorEastAsia" w:hAnsiTheme="minorEastAsia" w:eastAsiaTheme="minorEastAsia" w:cstheme="minorEastAsia"/>
          <w:szCs w:val="21"/>
        </w:rPr>
        <w:t>/min；气化室温度：380℃；检测器（FID）温度：380℃；进样方式：分流进样（分流比50：1）；柱温采用程序升温程序：初温30℃，第一阶段以5℃/min升温速率升至70℃；第二阶段以8℃/min升温速率升至190℃；第三阶段以15℃/min升温速率升至380℃；恒温5</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min。</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B</w:t>
      </w:r>
      <w:r>
        <w:rPr>
          <w:rFonts w:hint="eastAsia" w:asciiTheme="minorEastAsia" w:hAnsiTheme="minorEastAsia" w:eastAsiaTheme="minorEastAsia" w:cstheme="minorEastAsia"/>
          <w:szCs w:val="21"/>
        </w:rPr>
        <w:t xml:space="preserve">.3试剂和溶液  </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色谱用标准物质为</w:t>
      </w:r>
      <w:r>
        <w:rPr>
          <w:rFonts w:hint="eastAsia" w:asciiTheme="minorEastAsia" w:hAnsiTheme="minorEastAsia" w:cstheme="minorEastAsia"/>
          <w:szCs w:val="21"/>
          <w:highlight w:val="none"/>
          <w:lang w:val="en-US" w:eastAsia="zh-CN"/>
        </w:rPr>
        <w:t>1,3丙二醇丁基醚</w:t>
      </w:r>
      <w:r>
        <w:rPr>
          <w:rFonts w:hint="eastAsia" w:asciiTheme="minorEastAsia" w:hAnsiTheme="minorEastAsia" w:eastAsiaTheme="minorEastAsia" w:cstheme="minorEastAsia"/>
          <w:szCs w:val="21"/>
        </w:rPr>
        <w:t>、</w:t>
      </w:r>
      <w:r>
        <w:rPr>
          <w:rFonts w:hint="eastAsia" w:asciiTheme="minorEastAsia" w:hAnsiTheme="minorEastAsia" w:cstheme="minorEastAsia"/>
          <w:szCs w:val="21"/>
          <w:lang w:val="en-US" w:eastAsia="zh-CN"/>
        </w:rPr>
        <w:t>烃类油</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C</w:t>
      </w:r>
      <w:r>
        <w:rPr>
          <w:rFonts w:hint="eastAsia" w:asciiTheme="minorEastAsia" w:hAnsiTheme="minorEastAsia" w:cstheme="minorEastAsia"/>
          <w:szCs w:val="21"/>
          <w:vertAlign w:val="subscript"/>
          <w:lang w:val="en-US" w:eastAsia="zh-CN"/>
        </w:rPr>
        <w:t>11</w:t>
      </w:r>
      <w:r>
        <w:rPr>
          <w:rFonts w:hint="eastAsia" w:asciiTheme="minorEastAsia" w:hAnsiTheme="minorEastAsia" w:cstheme="minorEastAsia"/>
          <w:szCs w:val="21"/>
          <w:lang w:val="en-US" w:eastAsia="zh-CN"/>
        </w:rPr>
        <w:t>～C</w:t>
      </w:r>
      <w:r>
        <w:rPr>
          <w:rFonts w:hint="eastAsia" w:asciiTheme="minorEastAsia" w:hAnsiTheme="minorEastAsia" w:cstheme="minorEastAsia"/>
          <w:szCs w:val="21"/>
          <w:vertAlign w:val="subscript"/>
          <w:lang w:val="en-US" w:eastAsia="zh-CN"/>
        </w:rPr>
        <w:t>15</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w:t>
      </w:r>
      <w:r>
        <w:rPr>
          <w:rFonts w:hint="eastAsia" w:asciiTheme="minorEastAsia" w:hAnsiTheme="minorEastAsia" w:cstheme="minorEastAsia"/>
          <w:szCs w:val="21"/>
          <w:lang w:val="en-US" w:eastAsia="zh-CN"/>
        </w:rPr>
        <w:t>邻</w:t>
      </w:r>
      <w:r>
        <w:rPr>
          <w:rFonts w:hint="eastAsia" w:asciiTheme="minorEastAsia" w:hAnsiTheme="minorEastAsia" w:eastAsiaTheme="minorEastAsia" w:cstheme="minorEastAsia"/>
          <w:szCs w:val="21"/>
          <w:lang w:val="en-US" w:eastAsia="zh-CN"/>
        </w:rPr>
        <w:t>苯二甲酸二烷基酯、</w:t>
      </w:r>
      <w:r>
        <w:rPr>
          <w:rFonts w:hint="eastAsia" w:asciiTheme="minorEastAsia" w:hAnsiTheme="minorEastAsia" w:eastAsiaTheme="minorEastAsia" w:cstheme="minorEastAsia"/>
          <w:szCs w:val="21"/>
          <w:lang w:eastAsia="zh-CN"/>
        </w:rPr>
        <w:t>脂肪酸</w:t>
      </w:r>
      <w:r>
        <w:rPr>
          <w:rFonts w:hint="eastAsia" w:asciiTheme="minorEastAsia" w:hAnsiTheme="minorEastAsia" w:eastAsiaTheme="minorEastAsia" w:cstheme="minorEastAsia"/>
          <w:szCs w:val="21"/>
        </w:rPr>
        <w:t>甲酯、</w:t>
      </w:r>
      <w:r>
        <w:rPr>
          <w:rFonts w:hint="eastAsia" w:asciiTheme="minorEastAsia" w:hAnsiTheme="minorEastAsia" w:eastAsiaTheme="minorEastAsia" w:cstheme="minorEastAsia"/>
          <w:szCs w:val="21"/>
          <w:lang w:val="en-US" w:eastAsia="zh-CN"/>
        </w:rPr>
        <w:t>甘油单脂肪酸酯</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甘油二脂肪酸酯</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甘油三脂肪酸酯</w:t>
      </w:r>
      <w:r>
        <w:rPr>
          <w:rFonts w:hint="eastAsia" w:asciiTheme="minorEastAsia" w:hAnsiTheme="minorEastAsia" w:eastAsiaTheme="minorEastAsia" w:cstheme="minorEastAsia"/>
          <w:szCs w:val="21"/>
        </w:rPr>
        <w:t>。样品浓度：0.0</w:t>
      </w:r>
      <w:r>
        <w:rPr>
          <w:rFonts w:hint="eastAsia" w:asciiTheme="minorEastAsia" w:hAnsiTheme="minorEastAsia" w:cstheme="minorEastAsia"/>
          <w:szCs w:val="21"/>
          <w:lang w:val="en-US" w:eastAsia="zh-CN"/>
        </w:rPr>
        <w:t>25</w:t>
      </w:r>
      <w:r>
        <w:rPr>
          <w:rFonts w:hint="eastAsia" w:asciiTheme="minorEastAsia" w:hAnsiTheme="minorEastAsia" w:eastAsiaTheme="minorEastAsia" w:cstheme="minorEastAsia"/>
          <w:szCs w:val="21"/>
        </w:rPr>
        <w:t>～0.0</w:t>
      </w:r>
      <w:r>
        <w:rPr>
          <w:rFonts w:hint="eastAsia" w:asciiTheme="minorEastAsia" w:hAnsiTheme="minorEastAsia" w:cstheme="minorEastAsia"/>
          <w:szCs w:val="21"/>
          <w:lang w:val="en-US" w:eastAsia="zh-CN"/>
        </w:rPr>
        <w:t>3</w:t>
      </w:r>
      <w:r>
        <w:rPr>
          <w:rFonts w:hint="eastAsia" w:asciiTheme="minorEastAsia" w:hAnsiTheme="minorEastAsia" w:eastAsiaTheme="minorEastAsia" w:cstheme="minorEastAsia"/>
          <w:szCs w:val="21"/>
        </w:rPr>
        <w:t>5</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g/m</w:t>
      </w:r>
      <w:r>
        <w:rPr>
          <w:rFonts w:hint="eastAsia" w:asciiTheme="minorEastAsia" w:hAnsiTheme="minorEastAsia" w:cstheme="minorEastAsia"/>
          <w:szCs w:val="21"/>
          <w:lang w:val="en-US" w:eastAsia="zh-CN"/>
        </w:rPr>
        <w:t>L</w:t>
      </w:r>
      <w:r>
        <w:rPr>
          <w:rFonts w:hint="eastAsia" w:asciiTheme="minorEastAsia" w:hAnsiTheme="minorEastAsia" w:eastAsiaTheme="minorEastAsia" w:cstheme="minorEastAsia"/>
          <w:szCs w:val="21"/>
        </w:rPr>
        <w:t>（精确至0.0001</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g）溶剂为吡啶；进样量：</w:t>
      </w:r>
      <w:r>
        <w:rPr>
          <w:rFonts w:hint="eastAsia" w:asciiTheme="minorEastAsia" w:hAnsiTheme="minorEastAsia" w:cstheme="minorEastAsia"/>
          <w:szCs w:val="21"/>
          <w:lang w:val="en-US" w:eastAsia="zh-CN"/>
        </w:rPr>
        <w:t xml:space="preserve">2 </w:t>
      </w:r>
      <w:r>
        <w:rPr>
          <w:rFonts w:hint="eastAsia" w:asciiTheme="minorEastAsia" w:hAnsiTheme="minorEastAsia" w:eastAsiaTheme="minorEastAsia" w:cstheme="minorEastAsia"/>
          <w:i/>
          <w:iCs/>
          <w:szCs w:val="21"/>
        </w:rPr>
        <w:t>μ</w:t>
      </w:r>
      <w:r>
        <w:rPr>
          <w:rFonts w:hint="eastAsia" w:asciiTheme="minorEastAsia" w:hAnsiTheme="minorEastAsia" w:cstheme="minorEastAsia"/>
          <w:szCs w:val="21"/>
          <w:lang w:val="en-US" w:eastAsia="zh-CN"/>
        </w:rPr>
        <w:t>L</w:t>
      </w:r>
      <w:r>
        <w:rPr>
          <w:rFonts w:hint="eastAsia" w:asciiTheme="minorEastAsia" w:hAnsiTheme="minorEastAsia" w:eastAsiaTheme="minorEastAsia" w:cstheme="minorEastAsia"/>
          <w:szCs w:val="21"/>
        </w:rPr>
        <w:t>。</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B</w:t>
      </w:r>
      <w:r>
        <w:rPr>
          <w:rFonts w:hint="eastAsia" w:asciiTheme="minorEastAsia" w:hAnsiTheme="minorEastAsia" w:eastAsiaTheme="minorEastAsia" w:cstheme="minorEastAsia"/>
          <w:szCs w:val="21"/>
        </w:rPr>
        <w:t>.4操作步骤</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B</w:t>
      </w:r>
      <w:r>
        <w:rPr>
          <w:rFonts w:hint="eastAsia" w:asciiTheme="minorEastAsia" w:hAnsiTheme="minorEastAsia" w:eastAsiaTheme="minorEastAsia" w:cstheme="minorEastAsia"/>
          <w:szCs w:val="21"/>
        </w:rPr>
        <w:t>.4.1酯类标准储备液（5.0</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mg/m</w:t>
      </w:r>
      <w:r>
        <w:rPr>
          <w:rFonts w:hint="eastAsia" w:asciiTheme="minorEastAsia" w:hAnsiTheme="minorEastAsia" w:cstheme="minorEastAsia"/>
          <w:szCs w:val="21"/>
          <w:lang w:val="en-US" w:eastAsia="zh-CN"/>
        </w:rPr>
        <w:t>L</w:t>
      </w:r>
      <w:r>
        <w:rPr>
          <w:rFonts w:hint="eastAsia" w:asciiTheme="minorEastAsia" w:hAnsiTheme="minorEastAsia" w:eastAsiaTheme="minorEastAsia" w:cstheme="minorEastAsia"/>
          <w:szCs w:val="21"/>
        </w:rPr>
        <w:t>）</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准确称取</w:t>
      </w:r>
      <w:r>
        <w:rPr>
          <w:rFonts w:hint="eastAsia" w:asciiTheme="minorEastAsia" w:hAnsiTheme="minorEastAsia" w:cstheme="minorEastAsia"/>
          <w:szCs w:val="21"/>
          <w:highlight w:val="none"/>
          <w:lang w:val="en-US" w:eastAsia="zh-CN"/>
        </w:rPr>
        <w:t>1,3丙二醇丁基醚</w:t>
      </w:r>
      <w:r>
        <w:rPr>
          <w:rFonts w:hint="eastAsia" w:asciiTheme="minorEastAsia" w:hAnsiTheme="minorEastAsia" w:eastAsiaTheme="minorEastAsia" w:cstheme="minorEastAsia"/>
          <w:szCs w:val="21"/>
        </w:rPr>
        <w:t>、</w:t>
      </w:r>
      <w:r>
        <w:rPr>
          <w:rFonts w:hint="eastAsia" w:asciiTheme="minorEastAsia" w:hAnsiTheme="minorEastAsia" w:cstheme="minorEastAsia"/>
          <w:szCs w:val="21"/>
          <w:lang w:val="en-US" w:eastAsia="zh-CN"/>
        </w:rPr>
        <w:t>烃类油</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C</w:t>
      </w:r>
      <w:r>
        <w:rPr>
          <w:rFonts w:hint="eastAsia" w:asciiTheme="minorEastAsia" w:hAnsiTheme="minorEastAsia" w:cstheme="minorEastAsia"/>
          <w:szCs w:val="21"/>
          <w:vertAlign w:val="subscript"/>
          <w:lang w:val="en-US" w:eastAsia="zh-CN"/>
        </w:rPr>
        <w:t>11</w:t>
      </w:r>
      <w:r>
        <w:rPr>
          <w:rFonts w:hint="eastAsia" w:asciiTheme="minorEastAsia" w:hAnsiTheme="minorEastAsia" w:cstheme="minorEastAsia"/>
          <w:szCs w:val="21"/>
          <w:lang w:val="en-US" w:eastAsia="zh-CN"/>
        </w:rPr>
        <w:t>～C</w:t>
      </w:r>
      <w:r>
        <w:rPr>
          <w:rFonts w:hint="eastAsia" w:asciiTheme="minorEastAsia" w:hAnsiTheme="minorEastAsia" w:cstheme="minorEastAsia"/>
          <w:szCs w:val="21"/>
          <w:vertAlign w:val="subscript"/>
          <w:lang w:val="en-US" w:eastAsia="zh-CN"/>
        </w:rPr>
        <w:t>15</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rPr>
        <w:t>、</w:t>
      </w:r>
      <w:r>
        <w:rPr>
          <w:rFonts w:hint="eastAsia" w:asciiTheme="minorEastAsia" w:hAnsiTheme="minorEastAsia" w:cstheme="minorEastAsia"/>
          <w:szCs w:val="21"/>
          <w:lang w:val="en-US" w:eastAsia="zh-CN"/>
        </w:rPr>
        <w:t>邻</w:t>
      </w:r>
      <w:r>
        <w:rPr>
          <w:rFonts w:hint="eastAsia" w:asciiTheme="minorEastAsia" w:hAnsiTheme="minorEastAsia" w:eastAsiaTheme="minorEastAsia" w:cstheme="minorEastAsia"/>
          <w:szCs w:val="21"/>
          <w:lang w:val="en-US" w:eastAsia="zh-CN"/>
        </w:rPr>
        <w:t>苯二甲酸二烷基酯、</w:t>
      </w:r>
      <w:r>
        <w:rPr>
          <w:rFonts w:hint="eastAsia" w:asciiTheme="minorEastAsia" w:hAnsiTheme="minorEastAsia" w:eastAsiaTheme="minorEastAsia" w:cstheme="minorEastAsia"/>
          <w:szCs w:val="21"/>
          <w:lang w:eastAsia="zh-CN"/>
        </w:rPr>
        <w:t>脂肪酸</w:t>
      </w:r>
      <w:r>
        <w:rPr>
          <w:rFonts w:hint="eastAsia" w:asciiTheme="minorEastAsia" w:hAnsiTheme="minorEastAsia" w:eastAsiaTheme="minorEastAsia" w:cstheme="minorEastAsia"/>
          <w:szCs w:val="21"/>
        </w:rPr>
        <w:t>甲酯、</w:t>
      </w:r>
      <w:r>
        <w:rPr>
          <w:rFonts w:hint="eastAsia" w:asciiTheme="minorEastAsia" w:hAnsiTheme="minorEastAsia" w:eastAsiaTheme="minorEastAsia" w:cstheme="minorEastAsia"/>
          <w:szCs w:val="21"/>
          <w:lang w:val="en-US" w:eastAsia="zh-CN"/>
        </w:rPr>
        <w:t>甘油单脂肪酸酯</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甘油二脂肪酸酯</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甘油三脂肪酸酯</w:t>
      </w:r>
      <w:r>
        <w:rPr>
          <w:rFonts w:hint="eastAsia" w:asciiTheme="minorEastAsia" w:hAnsiTheme="minorEastAsia" w:eastAsiaTheme="minorEastAsia" w:cstheme="minorEastAsia"/>
          <w:szCs w:val="21"/>
        </w:rPr>
        <w:t>各0.2500</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g（精确至0.0001</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g）于50</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m</w:t>
      </w:r>
      <w:r>
        <w:rPr>
          <w:rFonts w:hint="eastAsia" w:asciiTheme="minorEastAsia" w:hAnsiTheme="minorEastAsia" w:cstheme="minorEastAsia"/>
          <w:szCs w:val="21"/>
          <w:lang w:val="en-US" w:eastAsia="zh-CN"/>
        </w:rPr>
        <w:t>L</w:t>
      </w:r>
      <w:r>
        <w:rPr>
          <w:rFonts w:hint="eastAsia" w:asciiTheme="minorEastAsia" w:hAnsiTheme="minorEastAsia" w:eastAsiaTheme="minorEastAsia" w:cstheme="minorEastAsia"/>
          <w:szCs w:val="21"/>
        </w:rPr>
        <w:t>的容量瓶中，加入吡啶溶解并定容至刻度，置4℃左右冰箱保存1个月。</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B</w:t>
      </w:r>
      <w:r>
        <w:rPr>
          <w:rFonts w:hint="eastAsia" w:asciiTheme="minorEastAsia" w:hAnsiTheme="minorEastAsia" w:eastAsiaTheme="minorEastAsia" w:cstheme="minorEastAsia"/>
          <w:szCs w:val="21"/>
        </w:rPr>
        <w:t>.4.2酯类标准工作液</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分别准确吸取酯类标准储备液各1.00</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m</w:t>
      </w:r>
      <w:r>
        <w:rPr>
          <w:rFonts w:hint="eastAsia" w:asciiTheme="minorEastAsia" w:hAnsiTheme="minorEastAsia" w:cstheme="minorEastAsia"/>
          <w:szCs w:val="21"/>
          <w:lang w:val="en-US" w:eastAsia="zh-CN"/>
        </w:rPr>
        <w:t>L</w:t>
      </w:r>
      <w:r>
        <w:rPr>
          <w:rFonts w:hint="eastAsia" w:asciiTheme="minorEastAsia" w:hAnsiTheme="minorEastAsia" w:eastAsiaTheme="minorEastAsia" w:cstheme="minorEastAsia"/>
          <w:szCs w:val="21"/>
        </w:rPr>
        <w:t>、2.00</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m</w:t>
      </w:r>
      <w:r>
        <w:rPr>
          <w:rFonts w:hint="eastAsia" w:asciiTheme="minorEastAsia" w:hAnsiTheme="minorEastAsia" w:cstheme="minorEastAsia"/>
          <w:szCs w:val="21"/>
          <w:lang w:val="en-US" w:eastAsia="zh-CN"/>
        </w:rPr>
        <w:t>L</w:t>
      </w:r>
      <w:r>
        <w:rPr>
          <w:rFonts w:hint="eastAsia" w:asciiTheme="minorEastAsia" w:hAnsiTheme="minorEastAsia" w:eastAsiaTheme="minorEastAsia" w:cstheme="minorEastAsia"/>
          <w:szCs w:val="21"/>
        </w:rPr>
        <w:t>、3.00</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m</w:t>
      </w:r>
      <w:r>
        <w:rPr>
          <w:rFonts w:hint="eastAsia" w:asciiTheme="minorEastAsia" w:hAnsiTheme="minorEastAsia" w:cstheme="minorEastAsia"/>
          <w:szCs w:val="21"/>
          <w:lang w:val="en-US" w:eastAsia="zh-CN"/>
        </w:rPr>
        <w:t>L</w:t>
      </w:r>
      <w:r>
        <w:rPr>
          <w:rFonts w:hint="eastAsia" w:asciiTheme="minorEastAsia" w:hAnsiTheme="minorEastAsia" w:eastAsiaTheme="minorEastAsia" w:cstheme="minorEastAsia"/>
          <w:szCs w:val="21"/>
        </w:rPr>
        <w:t>、5.00</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m</w:t>
      </w:r>
      <w:r>
        <w:rPr>
          <w:rFonts w:hint="eastAsia" w:asciiTheme="minorEastAsia" w:hAnsiTheme="minorEastAsia" w:cstheme="minorEastAsia"/>
          <w:szCs w:val="21"/>
          <w:lang w:val="en-US" w:eastAsia="zh-CN"/>
        </w:rPr>
        <w:t>L</w:t>
      </w:r>
      <w:r>
        <w:rPr>
          <w:rFonts w:hint="eastAsia" w:asciiTheme="minorEastAsia" w:hAnsiTheme="minorEastAsia" w:eastAsiaTheme="minorEastAsia" w:cstheme="minorEastAsia"/>
          <w:szCs w:val="21"/>
        </w:rPr>
        <w:t>于10</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m</w:t>
      </w:r>
      <w:r>
        <w:rPr>
          <w:rFonts w:hint="eastAsia" w:asciiTheme="minorEastAsia" w:hAnsiTheme="minorEastAsia" w:cstheme="minorEastAsia"/>
          <w:szCs w:val="21"/>
          <w:lang w:val="en-US" w:eastAsia="zh-CN"/>
        </w:rPr>
        <w:t>L</w:t>
      </w:r>
      <w:r>
        <w:rPr>
          <w:rFonts w:hint="eastAsia" w:asciiTheme="minorEastAsia" w:hAnsiTheme="minorEastAsia" w:eastAsiaTheme="minorEastAsia" w:cstheme="minorEastAsia"/>
          <w:szCs w:val="21"/>
        </w:rPr>
        <w:t>的容量瓶中，加入吡啶溶解并定容至刻度；此即为0.5</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mg/m</w:t>
      </w:r>
      <w:r>
        <w:rPr>
          <w:rFonts w:hint="eastAsia" w:asciiTheme="minorEastAsia" w:hAnsiTheme="minorEastAsia" w:cstheme="minorEastAsia"/>
          <w:szCs w:val="21"/>
          <w:lang w:val="en-US" w:eastAsia="zh-CN"/>
        </w:rPr>
        <w:t>L</w:t>
      </w:r>
      <w:r>
        <w:rPr>
          <w:rFonts w:hint="eastAsia" w:asciiTheme="minorEastAsia" w:hAnsiTheme="minorEastAsia" w:eastAsiaTheme="minorEastAsia" w:cstheme="minorEastAsia"/>
          <w:szCs w:val="21"/>
        </w:rPr>
        <w:t>、1.0</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mg/m</w:t>
      </w:r>
      <w:r>
        <w:rPr>
          <w:rFonts w:hint="eastAsia" w:asciiTheme="minorEastAsia" w:hAnsiTheme="minorEastAsia" w:cstheme="minorEastAsia"/>
          <w:szCs w:val="21"/>
          <w:lang w:val="en-US" w:eastAsia="zh-CN"/>
        </w:rPr>
        <w:t>L</w:t>
      </w:r>
      <w:r>
        <w:rPr>
          <w:rFonts w:hint="eastAsia" w:asciiTheme="minorEastAsia" w:hAnsiTheme="minorEastAsia" w:eastAsiaTheme="minorEastAsia" w:cstheme="minorEastAsia"/>
          <w:szCs w:val="21"/>
        </w:rPr>
        <w:t>、1.5</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mg/m</w:t>
      </w:r>
      <w:r>
        <w:rPr>
          <w:rFonts w:hint="eastAsia" w:asciiTheme="minorEastAsia" w:hAnsiTheme="minorEastAsia" w:cstheme="minorEastAsia"/>
          <w:szCs w:val="21"/>
          <w:lang w:val="en-US" w:eastAsia="zh-CN"/>
        </w:rPr>
        <w:t>L</w:t>
      </w:r>
      <w:r>
        <w:rPr>
          <w:rFonts w:hint="eastAsia" w:asciiTheme="minorEastAsia" w:hAnsiTheme="minorEastAsia" w:eastAsiaTheme="minorEastAsia" w:cstheme="minorEastAsia"/>
          <w:szCs w:val="21"/>
        </w:rPr>
        <w:t>、2.5</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mg/m</w:t>
      </w:r>
      <w:r>
        <w:rPr>
          <w:rFonts w:hint="eastAsia" w:asciiTheme="minorEastAsia" w:hAnsiTheme="minorEastAsia" w:cstheme="minorEastAsia"/>
          <w:szCs w:val="21"/>
          <w:lang w:val="en-US" w:eastAsia="zh-CN"/>
        </w:rPr>
        <w:t>L</w:t>
      </w:r>
      <w:r>
        <w:rPr>
          <w:rFonts w:hint="eastAsia" w:asciiTheme="minorEastAsia" w:hAnsiTheme="minorEastAsia" w:eastAsiaTheme="minorEastAsia" w:cstheme="minorEastAsia"/>
          <w:szCs w:val="21"/>
        </w:rPr>
        <w:t>的标准工作液。取1.5</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m</w:t>
      </w:r>
      <w:r>
        <w:rPr>
          <w:rFonts w:hint="eastAsia" w:asciiTheme="minorEastAsia" w:hAnsiTheme="minorEastAsia" w:cstheme="minorEastAsia"/>
          <w:szCs w:val="21"/>
          <w:lang w:val="en-US" w:eastAsia="zh-CN"/>
        </w:rPr>
        <w:t>L</w:t>
      </w:r>
      <w:r>
        <w:rPr>
          <w:rFonts w:hint="eastAsia" w:asciiTheme="minorEastAsia" w:hAnsiTheme="minorEastAsia" w:eastAsiaTheme="minorEastAsia" w:cstheme="minorEastAsia"/>
          <w:szCs w:val="21"/>
        </w:rPr>
        <w:t>移至色谱配套样品瓶中，放置于采样盘上指定位置。临用现配。</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B</w:t>
      </w:r>
      <w:r>
        <w:rPr>
          <w:rFonts w:hint="eastAsia" w:asciiTheme="minorEastAsia" w:hAnsiTheme="minorEastAsia" w:eastAsiaTheme="minorEastAsia" w:cstheme="minorEastAsia"/>
          <w:szCs w:val="21"/>
        </w:rPr>
        <w:t>.4.3试样溶液的配制</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准确称取样品0.0</w:t>
      </w:r>
      <w:r>
        <w:rPr>
          <w:rFonts w:hint="eastAsia" w:asciiTheme="minorEastAsia" w:hAnsiTheme="minorEastAsia" w:cstheme="minorEastAsia"/>
          <w:szCs w:val="21"/>
          <w:lang w:val="en-US" w:eastAsia="zh-CN"/>
        </w:rPr>
        <w:t xml:space="preserve">25 </w:t>
      </w:r>
      <w:r>
        <w:rPr>
          <w:rFonts w:hint="eastAsia" w:asciiTheme="minorEastAsia" w:hAnsiTheme="minorEastAsia" w:eastAsiaTheme="minorEastAsia" w:cstheme="minorEastAsia"/>
          <w:szCs w:val="21"/>
        </w:rPr>
        <w:t>g～0.0</w:t>
      </w:r>
      <w:r>
        <w:rPr>
          <w:rFonts w:hint="eastAsia" w:asciiTheme="minorEastAsia" w:hAnsiTheme="minorEastAsia" w:cstheme="minorEastAsia"/>
          <w:szCs w:val="21"/>
          <w:lang w:val="en-US" w:eastAsia="zh-CN"/>
        </w:rPr>
        <w:t>3</w:t>
      </w:r>
      <w:r>
        <w:rPr>
          <w:rFonts w:hint="eastAsia" w:asciiTheme="minorEastAsia" w:hAnsiTheme="minorEastAsia" w:eastAsiaTheme="minorEastAsia" w:cstheme="minorEastAsia"/>
          <w:szCs w:val="21"/>
        </w:rPr>
        <w:t>5</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g（精确至0.0001</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g）于10</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m</w:t>
      </w:r>
      <w:r>
        <w:rPr>
          <w:rFonts w:hint="eastAsia" w:asciiTheme="minorEastAsia" w:hAnsiTheme="minorEastAsia" w:cstheme="minorEastAsia"/>
          <w:szCs w:val="21"/>
          <w:lang w:val="en-US" w:eastAsia="zh-CN"/>
        </w:rPr>
        <w:t>L</w:t>
      </w:r>
      <w:r>
        <w:rPr>
          <w:rFonts w:hint="eastAsia" w:asciiTheme="minorEastAsia" w:hAnsiTheme="minorEastAsia" w:eastAsiaTheme="minorEastAsia" w:cstheme="minorEastAsia"/>
          <w:szCs w:val="21"/>
        </w:rPr>
        <w:t>的容量瓶中，加入吡啶稀释至</w:t>
      </w:r>
      <w:r>
        <w:rPr>
          <w:rFonts w:hint="eastAsia" w:asciiTheme="minorEastAsia" w:hAnsiTheme="minorEastAsia" w:cstheme="minorEastAsia"/>
          <w:szCs w:val="21"/>
          <w:lang w:val="en-US" w:eastAsia="zh-CN"/>
        </w:rPr>
        <w:t>刻度</w:t>
      </w:r>
      <w:r>
        <w:rPr>
          <w:rFonts w:hint="eastAsia" w:asciiTheme="minorEastAsia" w:hAnsiTheme="minorEastAsia" w:eastAsiaTheme="minorEastAsia" w:cstheme="minorEastAsia"/>
          <w:szCs w:val="21"/>
        </w:rPr>
        <w:t>,振荡摇匀，取1.5</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m</w:t>
      </w:r>
      <w:r>
        <w:rPr>
          <w:rFonts w:hint="eastAsia" w:asciiTheme="minorEastAsia" w:hAnsiTheme="minorEastAsia" w:cstheme="minorEastAsia"/>
          <w:szCs w:val="21"/>
          <w:lang w:val="en-US" w:eastAsia="zh-CN"/>
        </w:rPr>
        <w:t>L</w:t>
      </w:r>
      <w:r>
        <w:rPr>
          <w:rFonts w:hint="eastAsia" w:asciiTheme="minorEastAsia" w:hAnsiTheme="minorEastAsia" w:eastAsiaTheme="minorEastAsia" w:cstheme="minorEastAsia"/>
          <w:szCs w:val="21"/>
        </w:rPr>
        <w:t>移至色谱配套样品瓶中，放置于采样盘上指定位置。</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B</w:t>
      </w:r>
      <w:r>
        <w:rPr>
          <w:rFonts w:hint="eastAsia" w:asciiTheme="minorEastAsia" w:hAnsiTheme="minorEastAsia" w:eastAsiaTheme="minorEastAsia" w:cstheme="minorEastAsia"/>
          <w:szCs w:val="21"/>
        </w:rPr>
        <w:t>.4.4标准曲线的制作</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将</w:t>
      </w:r>
      <w:r>
        <w:rPr>
          <w:rFonts w:hint="eastAsia" w:asciiTheme="minorEastAsia" w:hAnsiTheme="minorEastAsia" w:cstheme="minorEastAsia"/>
          <w:szCs w:val="21"/>
          <w:lang w:val="en-US" w:eastAsia="zh-CN"/>
        </w:rPr>
        <w:t xml:space="preserve">2 </w:t>
      </w:r>
      <w:r>
        <w:rPr>
          <w:rFonts w:hint="eastAsia" w:asciiTheme="minorEastAsia" w:hAnsiTheme="minorEastAsia" w:eastAsiaTheme="minorEastAsia" w:cstheme="minorEastAsia"/>
          <w:i/>
          <w:iCs/>
          <w:szCs w:val="21"/>
        </w:rPr>
        <w:t>μ</w:t>
      </w:r>
      <w:r>
        <w:rPr>
          <w:rFonts w:hint="eastAsia" w:asciiTheme="minorEastAsia" w:hAnsiTheme="minorEastAsia" w:cstheme="minorEastAsia"/>
          <w:szCs w:val="21"/>
          <w:lang w:val="en-US" w:eastAsia="zh-CN"/>
        </w:rPr>
        <w:t>L</w:t>
      </w:r>
      <w:r>
        <w:rPr>
          <w:rFonts w:hint="eastAsia" w:asciiTheme="minorEastAsia" w:hAnsiTheme="minorEastAsia" w:eastAsiaTheme="minorEastAsia" w:cstheme="minorEastAsia"/>
          <w:szCs w:val="21"/>
        </w:rPr>
        <w:t>的试样溶液注入气相色谱仪中，测定相应的不同浓度标准物质的峰面积，以标准工作液的浓度为横坐标，以峰面积为纵坐标，绘制标准曲线。</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B</w:t>
      </w:r>
      <w:r>
        <w:rPr>
          <w:rFonts w:hint="eastAsia" w:asciiTheme="minorEastAsia" w:hAnsiTheme="minorEastAsia" w:eastAsiaTheme="minorEastAsia" w:cstheme="minorEastAsia"/>
          <w:szCs w:val="21"/>
        </w:rPr>
        <w:t>.4.5试样溶液的测试</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将</w:t>
      </w:r>
      <w:r>
        <w:rPr>
          <w:rFonts w:hint="eastAsia" w:asciiTheme="minorEastAsia" w:hAnsiTheme="minorEastAsia" w:cstheme="minorEastAsia"/>
          <w:szCs w:val="21"/>
          <w:lang w:val="en-US" w:eastAsia="zh-CN"/>
        </w:rPr>
        <w:t xml:space="preserve">2 </w:t>
      </w:r>
      <w:r>
        <w:rPr>
          <w:rFonts w:hint="eastAsia" w:asciiTheme="minorEastAsia" w:hAnsiTheme="minorEastAsia" w:eastAsiaTheme="minorEastAsia" w:cstheme="minorEastAsia"/>
          <w:i/>
          <w:iCs/>
          <w:szCs w:val="21"/>
        </w:rPr>
        <w:t>μ</w:t>
      </w:r>
      <w:r>
        <w:rPr>
          <w:rFonts w:hint="eastAsia" w:asciiTheme="minorEastAsia" w:hAnsiTheme="minorEastAsia" w:cstheme="minorEastAsia"/>
          <w:szCs w:val="21"/>
          <w:lang w:val="en-US" w:eastAsia="zh-CN"/>
        </w:rPr>
        <w:t>L</w:t>
      </w:r>
      <w:r>
        <w:rPr>
          <w:rFonts w:hint="eastAsia" w:asciiTheme="minorEastAsia" w:hAnsiTheme="minorEastAsia" w:eastAsiaTheme="minorEastAsia" w:cstheme="minorEastAsia"/>
          <w:szCs w:val="21"/>
        </w:rPr>
        <w:t>的试样溶液注入气相色谱仪中，以保留时间定位，得到相应的峰面积，根据标准曲线得到待测液中组分百分数。</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B</w:t>
      </w:r>
      <w:r>
        <w:rPr>
          <w:rFonts w:hint="eastAsia" w:asciiTheme="minorEastAsia" w:hAnsiTheme="minorEastAsia" w:eastAsiaTheme="minorEastAsia" w:cstheme="minorEastAsia"/>
          <w:szCs w:val="21"/>
        </w:rPr>
        <w:t>.4.6结果计算</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单个组分峰面积之和与总峰面积之比的百分数即为含量百分数。试样中各组分含量百分数应分别报告，计算结果保留至小数点后二位小数。</w:t>
      </w:r>
    </w:p>
    <w:p>
      <w:pPr>
        <w:spacing w:line="500" w:lineRule="exact"/>
        <w:rPr>
          <w:rFonts w:ascii="宋体" w:hAnsi="宋体"/>
          <w:szCs w:val="21"/>
        </w:rPr>
      </w:pPr>
    </w:p>
    <w:p>
      <w:pPr>
        <w:spacing w:line="500" w:lineRule="exact"/>
        <w:rPr>
          <w:rFonts w:ascii="宋体" w:hAnsi="宋体"/>
          <w:szCs w:val="21"/>
        </w:rPr>
      </w:pPr>
      <w:r>
        <w:rPr>
          <w:rFonts w:hint="eastAsia" w:ascii="宋体" w:hAnsi="宋体"/>
          <w:szCs w:val="21"/>
        </w:rPr>
        <mc:AlternateContent>
          <mc:Choice Requires="wps">
            <w:drawing>
              <wp:anchor distT="0" distB="0" distL="114300" distR="114300" simplePos="0" relativeHeight="251660288" behindDoc="0" locked="0" layoutInCell="1" allowOverlap="1">
                <wp:simplePos x="0" y="0"/>
                <wp:positionH relativeFrom="column">
                  <wp:posOffset>1778000</wp:posOffset>
                </wp:positionH>
                <wp:positionV relativeFrom="paragraph">
                  <wp:posOffset>113030</wp:posOffset>
                </wp:positionV>
                <wp:extent cx="1850390" cy="0"/>
                <wp:effectExtent l="0" t="0" r="0" b="0"/>
                <wp:wrapNone/>
                <wp:docPr id="14" name="直接箭头连接符 14"/>
                <wp:cNvGraphicFramePr/>
                <a:graphic xmlns:a="http://schemas.openxmlformats.org/drawingml/2006/main">
                  <a:graphicData uri="http://schemas.microsoft.com/office/word/2010/wordprocessingShape">
                    <wps:wsp>
                      <wps:cNvCnPr/>
                      <wps:spPr>
                        <a:xfrm>
                          <a:off x="0" y="0"/>
                          <a:ext cx="1850390"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40pt;margin-top:8.9pt;height:0pt;width:145.7pt;z-index:251660288;mso-width-relative:page;mso-height-relative:page;" filled="f" stroked="t" coordsize="21600,21600" o:gfxdata="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nH4CXNQAAAAJAQAADwAAAAAAAAABACAAAAA4AAAAZHJzL2Rvd25yZXYueG1sUEsB&#10;AhQAFAAAAAgAh07iQDZknbDjAQAAoQMAAA4AAAAAAAAAAQAgAAAAOQEAAGRycy9lMm9Eb2MueG1s&#10;UEsFBgAAAAAGAAYAWQEAAI4FAAAAAA==&#10;">
                <v:fill on="f" focussize="0,0"/>
                <v:stroke weight="1pt" color="#000000" joinstyle="round"/>
                <v:imagedata o:title=""/>
                <o:lock v:ext="edit" aspectratio="f"/>
              </v:shape>
            </w:pict>
          </mc:Fallback>
        </mc:AlternateContent>
      </w:r>
    </w:p>
    <w:p>
      <w:pPr>
        <w:spacing w:line="500" w:lineRule="exact"/>
        <w:jc w:val="center"/>
        <w:rPr>
          <w:rFonts w:ascii="宋体" w:hAnsi="宋体" w:eastAsia="宋体" w:cs="宋体"/>
          <w:b/>
          <w:sz w:val="44"/>
          <w:szCs w:val="44"/>
        </w:rPr>
      </w:pPr>
    </w:p>
    <w:p>
      <w:pPr>
        <w:spacing w:line="360" w:lineRule="auto"/>
        <w:ind w:firstLine="480" w:firstLineChars="200"/>
        <w:rPr>
          <w:rFonts w:ascii="宋体" w:hAnsi="宋体" w:eastAsia="宋体" w:cs="宋体"/>
          <w:sz w:val="24"/>
          <w:lang w:val="en"/>
        </w:rPr>
      </w:pPr>
    </w:p>
    <w:sectPr>
      <w:footerReference r:id="rId5" w:type="default"/>
      <w:pgSz w:w="11906" w:h="16838"/>
      <w:pgMar w:top="1587" w:right="1361" w:bottom="1417" w:left="1361"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5855"/>
        <w:tab w:val="right" w:pos="9304"/>
      </w:tabs>
      <w:jc w:val="lef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r>
      <w:rPr>
        <w:rFonts w:hint="eastAsia"/>
        <w:lang w:eastAsia="zh-CN"/>
      </w:rPr>
      <w:tab/>
    </w:r>
    <w:r>
      <w:rPr>
        <w:rFonts w:hint="eastAsia"/>
        <w:lang w:eastAsia="zh-CN"/>
      </w:rPr>
      <w:tab/>
    </w:r>
    <w:r>
      <w:rPr>
        <w:rFonts w:hint="eastAsia"/>
        <w:lang w:eastAsia="zh-CN"/>
      </w:rPr>
      <w:tab/>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5855"/>
        <w:tab w:val="right" w:pos="9304"/>
      </w:tabs>
      <w:jc w:val="lef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r>
      <w:rPr>
        <w:rFonts w:hint="eastAsia"/>
        <w:lang w:eastAsia="zh-CN"/>
      </w:rPr>
      <w:tab/>
    </w:r>
    <w:r>
      <w:rPr>
        <w:rFonts w:hint="eastAsia"/>
        <w:lang w:eastAsia="zh-CN"/>
      </w:rPr>
      <w:tab/>
    </w:r>
    <w:r>
      <w:rPr>
        <w:rFonts w:hint="eastAsia"/>
        <w:lang w:eastAsia="zh-CN"/>
      </w:rPr>
      <w:tab/>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E6"/>
    <w:rsid w:val="00094BD2"/>
    <w:rsid w:val="000A231B"/>
    <w:rsid w:val="000B20D2"/>
    <w:rsid w:val="000C6E78"/>
    <w:rsid w:val="000D0B15"/>
    <w:rsid w:val="000D7237"/>
    <w:rsid w:val="000F5255"/>
    <w:rsid w:val="00123833"/>
    <w:rsid w:val="00144346"/>
    <w:rsid w:val="0017161E"/>
    <w:rsid w:val="001B696D"/>
    <w:rsid w:val="001B7320"/>
    <w:rsid w:val="001C50F5"/>
    <w:rsid w:val="001C6B51"/>
    <w:rsid w:val="001D4EB9"/>
    <w:rsid w:val="001F6B74"/>
    <w:rsid w:val="00202D37"/>
    <w:rsid w:val="00236D4E"/>
    <w:rsid w:val="00240475"/>
    <w:rsid w:val="00246754"/>
    <w:rsid w:val="00254198"/>
    <w:rsid w:val="00263DE7"/>
    <w:rsid w:val="00300D14"/>
    <w:rsid w:val="00310F38"/>
    <w:rsid w:val="00326FB2"/>
    <w:rsid w:val="003513D0"/>
    <w:rsid w:val="0035694C"/>
    <w:rsid w:val="003673FC"/>
    <w:rsid w:val="00384E68"/>
    <w:rsid w:val="003C5CCD"/>
    <w:rsid w:val="003D04C2"/>
    <w:rsid w:val="003E13D6"/>
    <w:rsid w:val="003E3CD3"/>
    <w:rsid w:val="003F0E8A"/>
    <w:rsid w:val="00402A24"/>
    <w:rsid w:val="00412C17"/>
    <w:rsid w:val="00432FB2"/>
    <w:rsid w:val="004352A8"/>
    <w:rsid w:val="00462A60"/>
    <w:rsid w:val="004B28EC"/>
    <w:rsid w:val="004B34D6"/>
    <w:rsid w:val="00536088"/>
    <w:rsid w:val="005470B1"/>
    <w:rsid w:val="005639D5"/>
    <w:rsid w:val="005A72A2"/>
    <w:rsid w:val="005C44A9"/>
    <w:rsid w:val="005C5B4C"/>
    <w:rsid w:val="00601375"/>
    <w:rsid w:val="00605854"/>
    <w:rsid w:val="00615BB1"/>
    <w:rsid w:val="006225E6"/>
    <w:rsid w:val="00623B83"/>
    <w:rsid w:val="0063248B"/>
    <w:rsid w:val="00641661"/>
    <w:rsid w:val="00671937"/>
    <w:rsid w:val="00684D0D"/>
    <w:rsid w:val="00690935"/>
    <w:rsid w:val="006B0754"/>
    <w:rsid w:val="006B1434"/>
    <w:rsid w:val="007165B9"/>
    <w:rsid w:val="00716E52"/>
    <w:rsid w:val="00727AF0"/>
    <w:rsid w:val="007370A7"/>
    <w:rsid w:val="00763108"/>
    <w:rsid w:val="007B44FC"/>
    <w:rsid w:val="007D22EC"/>
    <w:rsid w:val="007E1915"/>
    <w:rsid w:val="007E19F0"/>
    <w:rsid w:val="007E44FA"/>
    <w:rsid w:val="007F3F63"/>
    <w:rsid w:val="00824E12"/>
    <w:rsid w:val="008420CF"/>
    <w:rsid w:val="00852F12"/>
    <w:rsid w:val="0088623B"/>
    <w:rsid w:val="0088737C"/>
    <w:rsid w:val="00895544"/>
    <w:rsid w:val="00897391"/>
    <w:rsid w:val="008B309E"/>
    <w:rsid w:val="008B5C4B"/>
    <w:rsid w:val="009365A2"/>
    <w:rsid w:val="00992573"/>
    <w:rsid w:val="009A10BB"/>
    <w:rsid w:val="009A2D26"/>
    <w:rsid w:val="009A4404"/>
    <w:rsid w:val="009B5C4F"/>
    <w:rsid w:val="009C77A7"/>
    <w:rsid w:val="009E16CF"/>
    <w:rsid w:val="00A23712"/>
    <w:rsid w:val="00A40EC9"/>
    <w:rsid w:val="00A53F66"/>
    <w:rsid w:val="00A573F6"/>
    <w:rsid w:val="00A774E8"/>
    <w:rsid w:val="00A81A57"/>
    <w:rsid w:val="00A8611D"/>
    <w:rsid w:val="00AB0C7E"/>
    <w:rsid w:val="00AB51A2"/>
    <w:rsid w:val="00AC383F"/>
    <w:rsid w:val="00B027DC"/>
    <w:rsid w:val="00B21595"/>
    <w:rsid w:val="00B343F1"/>
    <w:rsid w:val="00B62FAE"/>
    <w:rsid w:val="00B72113"/>
    <w:rsid w:val="00B80C29"/>
    <w:rsid w:val="00B92BFA"/>
    <w:rsid w:val="00BE3251"/>
    <w:rsid w:val="00BF5DC3"/>
    <w:rsid w:val="00BF6433"/>
    <w:rsid w:val="00C45D40"/>
    <w:rsid w:val="00C57DEE"/>
    <w:rsid w:val="00C72350"/>
    <w:rsid w:val="00C80165"/>
    <w:rsid w:val="00C91CE0"/>
    <w:rsid w:val="00CA4F14"/>
    <w:rsid w:val="00CB367F"/>
    <w:rsid w:val="00CE134D"/>
    <w:rsid w:val="00D178D4"/>
    <w:rsid w:val="00D24979"/>
    <w:rsid w:val="00D26CB2"/>
    <w:rsid w:val="00D61E4F"/>
    <w:rsid w:val="00D95440"/>
    <w:rsid w:val="00DA48CC"/>
    <w:rsid w:val="00DF2F4E"/>
    <w:rsid w:val="00DF3861"/>
    <w:rsid w:val="00E05FE4"/>
    <w:rsid w:val="00E1204C"/>
    <w:rsid w:val="00E13E39"/>
    <w:rsid w:val="00E62827"/>
    <w:rsid w:val="00E63FDB"/>
    <w:rsid w:val="00E845A8"/>
    <w:rsid w:val="00EA0BA8"/>
    <w:rsid w:val="00EA6F7E"/>
    <w:rsid w:val="00EC25B8"/>
    <w:rsid w:val="00EE5378"/>
    <w:rsid w:val="00EE7453"/>
    <w:rsid w:val="00F1005E"/>
    <w:rsid w:val="00F64BAB"/>
    <w:rsid w:val="00F81CAB"/>
    <w:rsid w:val="00FB7BE3"/>
    <w:rsid w:val="00FC0532"/>
    <w:rsid w:val="00FC4CE6"/>
    <w:rsid w:val="00FE752C"/>
    <w:rsid w:val="00FF4E9B"/>
    <w:rsid w:val="00FF5F22"/>
    <w:rsid w:val="03A56CD7"/>
    <w:rsid w:val="04021749"/>
    <w:rsid w:val="043A7B8A"/>
    <w:rsid w:val="047A7841"/>
    <w:rsid w:val="04994A72"/>
    <w:rsid w:val="057C6664"/>
    <w:rsid w:val="06082093"/>
    <w:rsid w:val="06D77DE9"/>
    <w:rsid w:val="07325667"/>
    <w:rsid w:val="078A697A"/>
    <w:rsid w:val="08650112"/>
    <w:rsid w:val="08B22F3D"/>
    <w:rsid w:val="0A9F2792"/>
    <w:rsid w:val="0B8F209A"/>
    <w:rsid w:val="0C6702C5"/>
    <w:rsid w:val="0C901C92"/>
    <w:rsid w:val="0CEB13CF"/>
    <w:rsid w:val="0E8B18AB"/>
    <w:rsid w:val="0ED00500"/>
    <w:rsid w:val="0F33794F"/>
    <w:rsid w:val="107019FB"/>
    <w:rsid w:val="121B4F2A"/>
    <w:rsid w:val="129C1FAF"/>
    <w:rsid w:val="13B17478"/>
    <w:rsid w:val="15991231"/>
    <w:rsid w:val="166042C8"/>
    <w:rsid w:val="18273463"/>
    <w:rsid w:val="18DF4FB2"/>
    <w:rsid w:val="1B027ACD"/>
    <w:rsid w:val="1B3301C1"/>
    <w:rsid w:val="1C32671B"/>
    <w:rsid w:val="1D000D16"/>
    <w:rsid w:val="1DCA2953"/>
    <w:rsid w:val="1F556A70"/>
    <w:rsid w:val="21905788"/>
    <w:rsid w:val="21BD618C"/>
    <w:rsid w:val="21C806A8"/>
    <w:rsid w:val="228C4EBA"/>
    <w:rsid w:val="22CC3854"/>
    <w:rsid w:val="230279EA"/>
    <w:rsid w:val="234E349B"/>
    <w:rsid w:val="23CC618C"/>
    <w:rsid w:val="240837A2"/>
    <w:rsid w:val="254D28CC"/>
    <w:rsid w:val="25812204"/>
    <w:rsid w:val="267B4F0B"/>
    <w:rsid w:val="26DB2849"/>
    <w:rsid w:val="28621F78"/>
    <w:rsid w:val="28C146E8"/>
    <w:rsid w:val="2AC64936"/>
    <w:rsid w:val="2B224F4F"/>
    <w:rsid w:val="2B7E22D7"/>
    <w:rsid w:val="2C0F26E7"/>
    <w:rsid w:val="2D777943"/>
    <w:rsid w:val="2F7B1944"/>
    <w:rsid w:val="3079305E"/>
    <w:rsid w:val="30A77694"/>
    <w:rsid w:val="31370591"/>
    <w:rsid w:val="328B0159"/>
    <w:rsid w:val="332A0B99"/>
    <w:rsid w:val="33F952F9"/>
    <w:rsid w:val="35415AC2"/>
    <w:rsid w:val="366C7F1D"/>
    <w:rsid w:val="36876348"/>
    <w:rsid w:val="3768688E"/>
    <w:rsid w:val="38D113CE"/>
    <w:rsid w:val="39E82BB3"/>
    <w:rsid w:val="3AED72DC"/>
    <w:rsid w:val="3DA45FAA"/>
    <w:rsid w:val="3DAA7D3D"/>
    <w:rsid w:val="3EE04B4E"/>
    <w:rsid w:val="407A4D3B"/>
    <w:rsid w:val="434A00EA"/>
    <w:rsid w:val="43A6269E"/>
    <w:rsid w:val="43E850CC"/>
    <w:rsid w:val="45155689"/>
    <w:rsid w:val="4519491D"/>
    <w:rsid w:val="4821134E"/>
    <w:rsid w:val="483B6EFD"/>
    <w:rsid w:val="48BB5461"/>
    <w:rsid w:val="495E7DE6"/>
    <w:rsid w:val="49DF382E"/>
    <w:rsid w:val="4CD719F6"/>
    <w:rsid w:val="4DC810E2"/>
    <w:rsid w:val="522F45B4"/>
    <w:rsid w:val="523C6954"/>
    <w:rsid w:val="53C51602"/>
    <w:rsid w:val="53F95719"/>
    <w:rsid w:val="562B0A01"/>
    <w:rsid w:val="57DF649F"/>
    <w:rsid w:val="5931FF94"/>
    <w:rsid w:val="593E1AE8"/>
    <w:rsid w:val="59BD6E49"/>
    <w:rsid w:val="5AAB4CAC"/>
    <w:rsid w:val="5ACB31B2"/>
    <w:rsid w:val="5B2768E7"/>
    <w:rsid w:val="5C3B65E5"/>
    <w:rsid w:val="5CD15273"/>
    <w:rsid w:val="5CFA4E1E"/>
    <w:rsid w:val="5DDF2557"/>
    <w:rsid w:val="5EE65373"/>
    <w:rsid w:val="5FE52D11"/>
    <w:rsid w:val="60C773FF"/>
    <w:rsid w:val="614B530B"/>
    <w:rsid w:val="61B31D57"/>
    <w:rsid w:val="625C1755"/>
    <w:rsid w:val="63143876"/>
    <w:rsid w:val="63716D37"/>
    <w:rsid w:val="63C26FD5"/>
    <w:rsid w:val="66786E88"/>
    <w:rsid w:val="66EF5EE9"/>
    <w:rsid w:val="67033143"/>
    <w:rsid w:val="68F94F22"/>
    <w:rsid w:val="6A044889"/>
    <w:rsid w:val="6AF74AA8"/>
    <w:rsid w:val="6B0355E5"/>
    <w:rsid w:val="6C090A1F"/>
    <w:rsid w:val="6C102FD8"/>
    <w:rsid w:val="6D9363CD"/>
    <w:rsid w:val="6DC041F5"/>
    <w:rsid w:val="6FBC79DA"/>
    <w:rsid w:val="71417BCE"/>
    <w:rsid w:val="720D3B88"/>
    <w:rsid w:val="728E3039"/>
    <w:rsid w:val="73147EEA"/>
    <w:rsid w:val="737F3FAE"/>
    <w:rsid w:val="74BC488E"/>
    <w:rsid w:val="758B6644"/>
    <w:rsid w:val="760033EA"/>
    <w:rsid w:val="76454D20"/>
    <w:rsid w:val="764A1030"/>
    <w:rsid w:val="76CB1D39"/>
    <w:rsid w:val="7902794E"/>
    <w:rsid w:val="7A077B90"/>
    <w:rsid w:val="7AF90988"/>
    <w:rsid w:val="7D4A78F2"/>
    <w:rsid w:val="7D4C100C"/>
    <w:rsid w:val="7DEF4D32"/>
    <w:rsid w:val="7EAB1CA9"/>
    <w:rsid w:val="7EE87105"/>
    <w:rsid w:val="7F421AAA"/>
    <w:rsid w:val="7FC83BD1"/>
    <w:rsid w:val="BDCB6794"/>
    <w:rsid w:val="BFE6B8E1"/>
    <w:rsid w:val="C2BC6836"/>
    <w:rsid w:val="F9E98B6F"/>
    <w:rsid w:val="FFCF3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2"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2"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2"/>
    <w:pPr>
      <w:keepNext/>
      <w:keepLines/>
      <w:spacing w:before="260" w:after="260" w:line="416" w:lineRule="auto"/>
      <w:outlineLvl w:val="1"/>
    </w:pPr>
    <w:rPr>
      <w:rFonts w:ascii="Arial" w:hAnsi="Arial" w:eastAsia="黑体" w:cs="Times New Roman"/>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spacing w:before="161"/>
      <w:ind w:left="120"/>
    </w:pPr>
    <w:rPr>
      <w:rFonts w:ascii="宋体" w:hAnsi="宋体" w:eastAsia="宋体" w:cs="宋体"/>
      <w:sz w:val="24"/>
      <w:lang w:val="zh-CN" w:bidi="zh-CN"/>
    </w:rPr>
  </w:style>
  <w:style w:type="paragraph" w:styleId="5">
    <w:name w:val="Date"/>
    <w:basedOn w:val="1"/>
    <w:next w:val="1"/>
    <w:link w:val="19"/>
    <w:semiHidden/>
    <w:unhideWhenUsed/>
    <w:qFormat/>
    <w:uiPriority w:val="99"/>
    <w:pPr>
      <w:ind w:left="100" w:leftChars="2500"/>
    </w:pPr>
  </w:style>
  <w:style w:type="paragraph" w:styleId="6">
    <w:name w:val="Balloon Text"/>
    <w:basedOn w:val="1"/>
    <w:link w:val="17"/>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2"/>
    <w:rPr>
      <w:rFonts w:ascii="宋体" w:hAnsi="宋体" w:eastAsia="宋体" w:cs="Times New Roman"/>
      <w:sz w:val="24"/>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Emphasis"/>
    <w:basedOn w:val="12"/>
    <w:qFormat/>
    <w:uiPriority w:val="20"/>
    <w:rPr>
      <w:i/>
      <w:iCs/>
    </w:rPr>
  </w:style>
  <w:style w:type="character" w:customStyle="1" w:styleId="14">
    <w:name w:val="页眉 Char"/>
    <w:basedOn w:val="12"/>
    <w:link w:val="8"/>
    <w:qFormat/>
    <w:uiPriority w:val="99"/>
    <w:rPr>
      <w:sz w:val="18"/>
      <w:szCs w:val="18"/>
    </w:rPr>
  </w:style>
  <w:style w:type="character" w:customStyle="1" w:styleId="15">
    <w:name w:val="页脚 Char"/>
    <w:basedOn w:val="12"/>
    <w:link w:val="7"/>
    <w:qFormat/>
    <w:uiPriority w:val="99"/>
    <w:rPr>
      <w:sz w:val="18"/>
      <w:szCs w:val="18"/>
    </w:rPr>
  </w:style>
  <w:style w:type="paragraph" w:styleId="16">
    <w:name w:val="List Paragraph"/>
    <w:basedOn w:val="1"/>
    <w:qFormat/>
    <w:uiPriority w:val="34"/>
    <w:pPr>
      <w:ind w:firstLine="420" w:firstLineChars="200"/>
    </w:pPr>
    <w:rPr>
      <w:rFonts w:ascii="Times New Roman" w:hAnsi="Times New Roman" w:eastAsia="宋体" w:cs="Times New Roman"/>
    </w:rPr>
  </w:style>
  <w:style w:type="character" w:customStyle="1" w:styleId="17">
    <w:name w:val="批注框文本 Char"/>
    <w:basedOn w:val="12"/>
    <w:link w:val="6"/>
    <w:semiHidden/>
    <w:qFormat/>
    <w:uiPriority w:val="99"/>
    <w:rPr>
      <w:rFonts w:asciiTheme="minorHAnsi" w:hAnsiTheme="minorHAnsi" w:eastAsiaTheme="minorEastAsia" w:cstheme="minorBidi"/>
      <w:kern w:val="2"/>
      <w:sz w:val="18"/>
      <w:szCs w:val="18"/>
    </w:rPr>
  </w:style>
  <w:style w:type="paragraph" w:customStyle="1" w:styleId="18">
    <w:name w:val="src"/>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9">
    <w:name w:val="日期 Char"/>
    <w:basedOn w:val="12"/>
    <w:link w:val="5"/>
    <w:semiHidden/>
    <w:qFormat/>
    <w:uiPriority w:val="99"/>
    <w:rPr>
      <w:rFonts w:asciiTheme="minorHAnsi" w:hAnsiTheme="minorHAnsi" w:eastAsiaTheme="minorEastAsia" w:cstheme="minorBidi"/>
      <w:kern w:val="2"/>
      <w:sz w:val="21"/>
      <w:szCs w:val="24"/>
    </w:rPr>
  </w:style>
  <w:style w:type="character" w:customStyle="1" w:styleId="20">
    <w:name w:val="标题 1 Char"/>
    <w:basedOn w:val="12"/>
    <w:link w:val="2"/>
    <w:qFormat/>
    <w:uiPriority w:val="9"/>
    <w:rPr>
      <w:rFonts w:asciiTheme="minorHAnsi" w:hAnsiTheme="minorHAnsi" w:eastAsiaTheme="minorEastAsia" w:cstheme="minorBidi"/>
      <w:b/>
      <w:bCs/>
      <w:kern w:val="44"/>
      <w:sz w:val="44"/>
      <w:szCs w:val="44"/>
    </w:rPr>
  </w:style>
  <w:style w:type="character" w:customStyle="1" w:styleId="21">
    <w:name w:val="标题 2 Char"/>
    <w:basedOn w:val="12"/>
    <w:link w:val="3"/>
    <w:qFormat/>
    <w:uiPriority w:val="2"/>
    <w:rPr>
      <w:rFonts w:ascii="Arial" w:hAnsi="Arial" w:eastAsia="黑体"/>
      <w:b/>
      <w:bCs/>
      <w:kern w:val="2"/>
      <w:sz w:val="32"/>
      <w:szCs w:val="32"/>
    </w:rPr>
  </w:style>
  <w:style w:type="paragraph" w:customStyle="1" w:styleId="2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7545</Words>
  <Characters>9456</Characters>
  <Lines>31</Lines>
  <Paragraphs>22</Paragraphs>
  <TotalTime>46</TotalTime>
  <ScaleCrop>false</ScaleCrop>
  <LinksUpToDate>false</LinksUpToDate>
  <CharactersWithSpaces>10406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2021-02-06T11:08:00Z</dcterms:created>
  <dc:creator>Administrator</dc:creator>
  <cp:lastModifiedBy>baixin</cp:lastModifiedBy>
  <cp:lastPrinted>2021-07-28T17:10:00Z</cp:lastPrinted>
  <dcterms:modified xsi:type="dcterms:W3CDTF">2022-03-03T10:59:23Z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D59EC6DD5AD048239DA297C4E0CA8761</vt:lpwstr>
  </property>
</Properties>
</file>